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PROTOCOLO DE PLANTACIONES</w:t>
      </w:r>
    </w:p>
    <w:p w:rsidR="00000000" w:rsidDel="00000000" w:rsidP="00000000" w:rsidRDefault="00000000" w:rsidRPr="00000000">
      <w:pPr>
        <w:contextualSpacing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VISIÓN DE LAS PLANTACIONES FORESTALES</w:t>
      </w:r>
    </w:p>
    <w:p w:rsidR="00000000" w:rsidDel="00000000" w:rsidP="00000000" w:rsidRDefault="00000000" w:rsidRPr="00000000">
      <w:pPr>
        <w:contextualSpacing w:val="0"/>
        <w:rPr>
          <w:rFonts w:ascii="Calibri" w:cs="Calibri" w:eastAsia="Calibri" w:hAnsi="Calibri"/>
          <w:sz w:val="36"/>
          <w:szCs w:val="36"/>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Las plantaciones se establecen considerando: una estructura espacial que asegura la discontinuidad del combustible, el manejo adecuado de la interfaz urbano rural, el respecto de las comunidades indígenas, el reconocimiento de la funcionalidad ecológica que éstas tienen para las áreas en que se establecen y un manejo apropiado para proteger la calidad y cantidad de las aguas que generan las cuencas.</w:t>
      </w:r>
    </w:p>
    <w:p w:rsidR="00000000" w:rsidDel="00000000" w:rsidP="00000000" w:rsidRDefault="00000000" w:rsidRPr="00000000">
      <w:pPr>
        <w:contextualSpacing w:val="0"/>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En este marco, los pequeños y medianos propietarios, con el apoyo del Estado y de todos los sectores, actuando de manera asociativa, establecen plantaciones con elevados estándares de manejo, que permiten incrementar el valor de dichos recursos, para constituirse en un actor relevante del sector, considerando sus aspiraciones y requerimientos.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