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  <w:rPr>
          <w:b w:val="0"/>
          <w:sz w:val="44"/>
          <w:szCs w:val="44"/>
          <w:vertAlign w:val="baseline"/>
        </w:rPr>
      </w:pPr>
      <w:r w:rsidDel="00000000" w:rsidR="00000000" w:rsidRPr="00000000">
        <w:rPr>
          <w:b w:val="1"/>
          <w:sz w:val="44"/>
          <w:szCs w:val="44"/>
          <w:vertAlign w:val="baseline"/>
          <w:rtl w:val="0"/>
        </w:rPr>
        <w:t xml:space="preserve">ÍNDICE DE FRAGILIDAD DE SUELOS FORESTALES</w:t>
      </w:r>
      <w:r w:rsidDel="00000000" w:rsidR="00000000" w:rsidRPr="00000000">
        <w:rPr>
          <w:rtl w:val="0"/>
        </w:rPr>
      </w:r>
    </w:p>
    <w:tbl>
      <w:tblPr>
        <w:tblStyle w:val="Table1"/>
        <w:tblW w:w="14573.999999999998" w:type="dxa"/>
        <w:jc w:val="center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413"/>
        <w:gridCol w:w="1427"/>
        <w:gridCol w:w="1369"/>
        <w:gridCol w:w="1437"/>
        <w:gridCol w:w="1398"/>
        <w:gridCol w:w="1372"/>
        <w:gridCol w:w="1415"/>
        <w:gridCol w:w="1560"/>
        <w:gridCol w:w="1598"/>
        <w:gridCol w:w="1585"/>
        <w:tblGridChange w:id="0">
          <w:tblGrid>
            <w:gridCol w:w="1413"/>
            <w:gridCol w:w="1427"/>
            <w:gridCol w:w="1369"/>
            <w:gridCol w:w="1437"/>
            <w:gridCol w:w="1398"/>
            <w:gridCol w:w="1372"/>
            <w:gridCol w:w="1415"/>
            <w:gridCol w:w="1560"/>
            <w:gridCol w:w="1598"/>
            <w:gridCol w:w="1585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Factor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Topográfico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Edáfico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Climático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Hidrogeológico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Índice relativo  Clase de Fragilidad (%)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8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Clase de fragilidad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Pendiente(%)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Profundidad de suelo(cm)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Granulometría Textural (%)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Compactación g/cm3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Grado de Erosión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Clases Drenaje interno suelo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Precipitación anual (mm)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vertAlign w:val="baseline"/>
                <w:rtl w:val="0"/>
              </w:rPr>
              <w:t xml:space="preserve">Intensidad pptt (mm/hora)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Deslizamiento o remoción en masa, (valor de coherencia kg/m2)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Alta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&gt; 60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&lt; 30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Rocosidad Pedregosidad Arenas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0 - 1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Severa y muy severa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Excesivo Imperfecto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&gt; 1000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color w:val="ff0000"/>
                <w:vertAlign w:val="baseline"/>
                <w:rtl w:val="0"/>
              </w:rPr>
              <w:t xml:space="preserve">&gt; 30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&lt; 0,25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67 - 100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Media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30 - 60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30 - 90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Arcillas y Limos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 – 1,5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Moderada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Moderado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500 - 1000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color w:val="ff0000"/>
                <w:vertAlign w:val="baseline"/>
                <w:rtl w:val="0"/>
              </w:rPr>
              <w:t xml:space="preserve">10 - 30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0,25 - 0.5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34 - 66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Baja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360" w:firstLine="0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&lt; 30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&gt; 90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Franca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&gt; 1,5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Ligera o aparente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Bueno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&gt; 500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color w:val="ff0000"/>
                <w:vertAlign w:val="baseline"/>
                <w:rtl w:val="0"/>
              </w:rPr>
              <w:t xml:space="preserve">&lt; 10mm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0,5 - 1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0 - 33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Ponderación (%)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left="360" w:firstLine="0"/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2240" w:w="15840"/>
      <w:pgMar w:bottom="1134" w:top="1134" w:left="851" w:right="85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es-CL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