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Default="00E10E2C" w:rsidP="00496815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</w:p>
    <w:p w:rsidR="0018251C" w:rsidRDefault="00797F7E" w:rsidP="00496815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ACTA 8</w:t>
      </w:r>
      <w:r w:rsidR="00496815">
        <w:rPr>
          <w:b/>
          <w:sz w:val="28"/>
          <w:szCs w:val="28"/>
          <w:u w:val="single"/>
          <w:lang w:val="es-MX"/>
        </w:rPr>
        <w:t xml:space="preserve">ª </w:t>
      </w:r>
      <w:r w:rsidR="00E55A0F">
        <w:rPr>
          <w:b/>
          <w:sz w:val="28"/>
          <w:szCs w:val="28"/>
          <w:u w:val="single"/>
          <w:lang w:val="es-MX"/>
        </w:rPr>
        <w:t xml:space="preserve">REUNIÓN COMITÉ </w:t>
      </w:r>
      <w:r w:rsidR="00F24472">
        <w:rPr>
          <w:b/>
          <w:sz w:val="28"/>
          <w:szCs w:val="28"/>
          <w:u w:val="single"/>
          <w:lang w:val="es-MX"/>
        </w:rPr>
        <w:t xml:space="preserve">DE </w:t>
      </w:r>
      <w:r w:rsidR="00E55A0F">
        <w:rPr>
          <w:b/>
          <w:sz w:val="28"/>
          <w:szCs w:val="28"/>
          <w:u w:val="single"/>
          <w:lang w:val="es-MX"/>
        </w:rPr>
        <w:t>EXPERT</w:t>
      </w:r>
      <w:r w:rsidR="00F24472">
        <w:rPr>
          <w:b/>
          <w:sz w:val="28"/>
          <w:szCs w:val="28"/>
          <w:u w:val="single"/>
          <w:lang w:val="es-MX"/>
        </w:rPr>
        <w:t>OS “PROTECCIÓN DE SUELOS Y AGUA</w:t>
      </w:r>
      <w:r w:rsidR="00E55A0F">
        <w:rPr>
          <w:b/>
          <w:sz w:val="28"/>
          <w:szCs w:val="28"/>
          <w:u w:val="single"/>
          <w:lang w:val="es-MX"/>
        </w:rPr>
        <w:t>”</w:t>
      </w:r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BA08BC" w:rsidTr="00793DBA">
        <w:trPr>
          <w:trHeight w:val="283"/>
        </w:trPr>
        <w:tc>
          <w:tcPr>
            <w:tcW w:w="1514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496815" w:rsidP="00496815">
            <w:pPr>
              <w:spacing w:after="0" w:line="240" w:lineRule="auto"/>
              <w:ind w:right="-568"/>
              <w:rPr>
                <w:lang w:val="es-MX"/>
              </w:rPr>
            </w:pPr>
            <w:r>
              <w:rPr>
                <w:lang w:val="es-MX"/>
              </w:rPr>
              <w:t>Octava r</w:t>
            </w:r>
            <w:r w:rsidR="00884FC1" w:rsidRPr="00884FC1">
              <w:rPr>
                <w:lang w:val="es-MX"/>
              </w:rPr>
              <w:t>eunión</w:t>
            </w:r>
            <w:r w:rsidR="00BA08BC">
              <w:rPr>
                <w:lang w:val="es-MX"/>
              </w:rPr>
              <w:t xml:space="preserve"> </w:t>
            </w:r>
            <w:r w:rsidR="007100FD">
              <w:rPr>
                <w:lang w:val="es-MX"/>
              </w:rPr>
              <w:t>Comi</w:t>
            </w:r>
            <w:r w:rsidR="00F24472">
              <w:rPr>
                <w:lang w:val="es-MX"/>
              </w:rPr>
              <w:t xml:space="preserve">té </w:t>
            </w:r>
            <w:r w:rsidR="008E2E96">
              <w:rPr>
                <w:lang w:val="es-MX"/>
              </w:rPr>
              <w:t xml:space="preserve">de Expertos </w:t>
            </w:r>
            <w:r w:rsidR="00E55A0F">
              <w:rPr>
                <w:lang w:val="es-MX"/>
              </w:rPr>
              <w:t xml:space="preserve">Protección de </w:t>
            </w:r>
            <w:r w:rsidR="008E2E96">
              <w:rPr>
                <w:lang w:val="es-MX"/>
              </w:rPr>
              <w:t>Suelos y Agua</w:t>
            </w:r>
            <w:r w:rsidR="00BA08BC">
              <w:rPr>
                <w:lang w:val="es-MX"/>
              </w:rPr>
              <w:t>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B325DA" w:rsidP="00496815">
            <w:pPr>
              <w:spacing w:after="0" w:line="240" w:lineRule="auto"/>
              <w:jc w:val="both"/>
              <w:rPr>
                <w:u w:val="single"/>
                <w:lang w:val="es-MX"/>
              </w:rPr>
            </w:pPr>
            <w:r>
              <w:rPr>
                <w:lang w:val="es-MX"/>
              </w:rPr>
              <w:t>Miércoles</w:t>
            </w:r>
            <w:r w:rsidR="00797F7E">
              <w:rPr>
                <w:lang w:val="es-MX"/>
              </w:rPr>
              <w:t xml:space="preserve"> 26 de Julio</w:t>
            </w:r>
            <w:r w:rsidR="00884FC1" w:rsidRPr="00884FC1">
              <w:rPr>
                <w:lang w:val="es-MX"/>
              </w:rPr>
              <w:t xml:space="preserve"> de 2017.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inicio</w:t>
            </w:r>
            <w:r w:rsidR="00C8398C">
              <w:rPr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797F7E" w:rsidP="00496815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9</w:t>
            </w:r>
            <w:r w:rsidR="00884FC1" w:rsidRPr="00884FC1">
              <w:rPr>
                <w:lang w:val="es-MX"/>
              </w:rPr>
              <w:t>:</w:t>
            </w:r>
            <w:r>
              <w:rPr>
                <w:lang w:val="es-MX"/>
              </w:rPr>
              <w:t>3</w:t>
            </w:r>
            <w:r w:rsidR="00EB213A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797F7E" w:rsidP="00496815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12</w:t>
            </w:r>
            <w:r w:rsidR="00884FC1" w:rsidRPr="00884FC1">
              <w:rPr>
                <w:lang w:val="es-MX"/>
              </w:rPr>
              <w:t>:</w:t>
            </w:r>
            <w:r w:rsidR="008E2E96">
              <w:rPr>
                <w:lang w:val="es-MX"/>
              </w:rPr>
              <w:t>30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496815" w:rsidTr="00793DBA">
        <w:trPr>
          <w:trHeight w:val="270"/>
        </w:trPr>
        <w:tc>
          <w:tcPr>
            <w:tcW w:w="1514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D42351" w:rsidRDefault="008E42DD" w:rsidP="00496815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2787E" w:rsidRDefault="008E2E96" w:rsidP="00496815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787E">
              <w:rPr>
                <w:lang w:val="en-US"/>
              </w:rPr>
              <w:t>Avda</w:t>
            </w:r>
            <w:proofErr w:type="spellEnd"/>
            <w:r w:rsidR="00706DA7" w:rsidRPr="0052787E">
              <w:rPr>
                <w:lang w:val="en-US"/>
              </w:rPr>
              <w:t>.</w:t>
            </w:r>
            <w:r w:rsidR="00E55A0F">
              <w:rPr>
                <w:lang w:val="en-US"/>
              </w:rPr>
              <w:t xml:space="preserve"> </w:t>
            </w:r>
            <w:proofErr w:type="spellStart"/>
            <w:r w:rsidR="00E55A0F">
              <w:rPr>
                <w:lang w:val="en-US"/>
              </w:rPr>
              <w:t>Bulnes</w:t>
            </w:r>
            <w:proofErr w:type="spellEnd"/>
            <w:r w:rsidR="00E55A0F">
              <w:rPr>
                <w:lang w:val="en-US"/>
              </w:rPr>
              <w:t xml:space="preserve"> N° 377, Of 207</w:t>
            </w:r>
            <w:r w:rsidRPr="0052787E">
              <w:rPr>
                <w:lang w:val="en-US"/>
              </w:rPr>
              <w:t xml:space="preserve">, </w:t>
            </w:r>
            <w:r w:rsidR="00F24472">
              <w:rPr>
                <w:lang w:val="en-US"/>
              </w:rPr>
              <w:t>CONAF</w:t>
            </w:r>
            <w:r w:rsidRPr="0052787E">
              <w:rPr>
                <w:lang w:val="en-US"/>
              </w:rPr>
              <w:t xml:space="preserve"> Santiago</w:t>
            </w:r>
            <w:r w:rsidR="00706DA7" w:rsidRPr="0052787E">
              <w:rPr>
                <w:lang w:val="en-US"/>
              </w:rPr>
              <w:t xml:space="preserve"> </w:t>
            </w:r>
          </w:p>
        </w:tc>
      </w:tr>
    </w:tbl>
    <w:p w:rsidR="00EB495A" w:rsidRPr="0052787E" w:rsidRDefault="00EB495A" w:rsidP="00496815">
      <w:pPr>
        <w:spacing w:after="0" w:line="240" w:lineRule="auto"/>
        <w:ind w:right="-568"/>
        <w:rPr>
          <w:b/>
          <w:sz w:val="20"/>
          <w:szCs w:val="20"/>
          <w:lang w:val="en-US"/>
        </w:rPr>
      </w:pPr>
    </w:p>
    <w:p w:rsidR="00C8398C" w:rsidRPr="00F24472" w:rsidRDefault="00C8398C" w:rsidP="00496815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F24472" w:rsidRDefault="00C8398C" w:rsidP="00496815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F24472" w:rsidRDefault="00C8398C" w:rsidP="00496815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F24472" w:rsidRDefault="00C8398C" w:rsidP="00496815">
      <w:pPr>
        <w:spacing w:after="0" w:line="240" w:lineRule="auto"/>
        <w:ind w:right="-568"/>
        <w:rPr>
          <w:b/>
          <w:u w:val="single"/>
          <w:lang w:val="en-US"/>
        </w:rPr>
      </w:pPr>
    </w:p>
    <w:p w:rsidR="006C311D" w:rsidRDefault="00442E59" w:rsidP="00496815">
      <w:pPr>
        <w:spacing w:after="0" w:line="240" w:lineRule="auto"/>
        <w:ind w:right="-568"/>
        <w:rPr>
          <w:b/>
          <w:u w:val="single"/>
          <w:lang w:val="es-MX"/>
        </w:rPr>
      </w:pPr>
      <w:r w:rsidRPr="001302F7">
        <w:rPr>
          <w:b/>
          <w:u w:val="single"/>
          <w:lang w:val="es-MX"/>
        </w:rPr>
        <w:t>ASISTENTES</w:t>
      </w:r>
    </w:p>
    <w:p w:rsidR="00F24472" w:rsidRPr="00442E59" w:rsidRDefault="00F24472" w:rsidP="00496815">
      <w:pPr>
        <w:spacing w:after="0" w:line="240" w:lineRule="auto"/>
        <w:ind w:right="-568"/>
        <w:rPr>
          <w:b/>
          <w:u w:val="single"/>
          <w:lang w:val="es-MX"/>
        </w:rPr>
      </w:pPr>
    </w:p>
    <w:p w:rsidR="009C662A" w:rsidRPr="00E55A0F" w:rsidRDefault="0052787E" w:rsidP="00496815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Sr. Aarón Cavieres</w:t>
      </w:r>
      <w:r w:rsidR="008129B0" w:rsidRPr="00E55A0F">
        <w:t>, Presidente</w:t>
      </w:r>
      <w:r w:rsidR="00C8398C">
        <w:t xml:space="preserve"> </w:t>
      </w:r>
      <w:r w:rsidR="008129B0" w:rsidRPr="00E55A0F">
        <w:t>del Consejo de Política Forestal</w:t>
      </w:r>
      <w:r w:rsidR="00494F92" w:rsidRPr="00E55A0F">
        <w:t xml:space="preserve"> y </w:t>
      </w:r>
      <w:r w:rsidR="008129B0" w:rsidRPr="00E55A0F">
        <w:t>Director Ejecutivo</w:t>
      </w:r>
      <w:r w:rsidR="00494F92" w:rsidRPr="00E55A0F">
        <w:t xml:space="preserve"> de</w:t>
      </w:r>
      <w:r w:rsidR="008129B0" w:rsidRPr="00E55A0F">
        <w:t xml:space="preserve"> CONAF.</w:t>
      </w:r>
    </w:p>
    <w:p w:rsidR="00C8398C" w:rsidRDefault="00C8398C" w:rsidP="00496815">
      <w:pPr>
        <w:shd w:val="clear" w:color="auto" w:fill="FFFFFF"/>
        <w:spacing w:after="0" w:line="240" w:lineRule="auto"/>
      </w:pPr>
    </w:p>
    <w:p w:rsidR="00496815" w:rsidRDefault="00496815" w:rsidP="00496815">
      <w:pPr>
        <w:shd w:val="clear" w:color="auto" w:fill="FFFFFF"/>
        <w:spacing w:after="0" w:line="240" w:lineRule="auto"/>
      </w:pPr>
      <w:r>
        <w:t>Sr. Julio Becker</w:t>
      </w:r>
      <w:r>
        <w:t>,</w:t>
      </w:r>
      <w:r>
        <w:t xml:space="preserve"> </w:t>
      </w:r>
      <w:r>
        <w:t>E</w:t>
      </w:r>
      <w:r>
        <w:t xml:space="preserve">xperto </w:t>
      </w:r>
      <w:r>
        <w:t>CORMA</w:t>
      </w:r>
      <w:r w:rsidRPr="00E55A0F">
        <w:t xml:space="preserve">. </w:t>
      </w:r>
    </w:p>
    <w:p w:rsidR="00496815" w:rsidRDefault="00496815" w:rsidP="00496815">
      <w:pPr>
        <w:shd w:val="clear" w:color="auto" w:fill="FFFFFF"/>
        <w:spacing w:after="0" w:line="240" w:lineRule="auto"/>
      </w:pPr>
    </w:p>
    <w:p w:rsidR="00496815" w:rsidRDefault="00496815" w:rsidP="00496815">
      <w:pPr>
        <w:shd w:val="clear" w:color="auto" w:fill="FFFFFF"/>
        <w:spacing w:after="0" w:line="240" w:lineRule="auto"/>
      </w:pPr>
      <w:r>
        <w:t xml:space="preserve">Sr. </w:t>
      </w:r>
      <w:r w:rsidRPr="00E55A0F">
        <w:t xml:space="preserve">Cesar Farías, </w:t>
      </w:r>
      <w:r>
        <w:t>E</w:t>
      </w:r>
      <w:r>
        <w:rPr>
          <w:rFonts w:asciiTheme="minorHAnsi" w:hAnsiTheme="minorHAnsi" w:cs="Arial"/>
          <w:shd w:val="clear" w:color="auto" w:fill="FFFFFF"/>
        </w:rPr>
        <w:t>xperto CORMA</w:t>
      </w:r>
      <w:r w:rsidRPr="00E55A0F">
        <w:t>.</w:t>
      </w:r>
    </w:p>
    <w:p w:rsidR="00496815" w:rsidRDefault="00496815" w:rsidP="00496815">
      <w:pPr>
        <w:shd w:val="clear" w:color="auto" w:fill="FFFFFF"/>
        <w:spacing w:after="0" w:line="240" w:lineRule="auto"/>
      </w:pPr>
    </w:p>
    <w:p w:rsidR="00496815" w:rsidRPr="00E55A0F" w:rsidRDefault="00496815" w:rsidP="0049681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>
        <w:rPr>
          <w:rFonts w:asciiTheme="minorHAnsi" w:eastAsia="Times New Roman" w:hAnsiTheme="minorHAnsi" w:cs="Arial"/>
          <w:color w:val="000000"/>
          <w:lang w:val="es-ES" w:eastAsia="es-ES"/>
        </w:rPr>
        <w:t>Sr. Fernando Raga</w:t>
      </w:r>
      <w:r>
        <w:rPr>
          <w:rFonts w:asciiTheme="minorHAnsi" w:eastAsia="Times New Roman" w:hAnsiTheme="minorHAnsi" w:cs="Arial"/>
          <w:color w:val="000000"/>
          <w:lang w:val="es-ES" w:eastAsia="es-ES"/>
        </w:rPr>
        <w:t xml:space="preserve">, </w:t>
      </w:r>
      <w:r>
        <w:rPr>
          <w:rFonts w:asciiTheme="minorHAnsi" w:eastAsia="Times New Roman" w:hAnsiTheme="minorHAnsi" w:cs="Arial"/>
          <w:color w:val="000000"/>
          <w:lang w:val="es-ES" w:eastAsia="es-ES"/>
        </w:rPr>
        <w:t>Consejero CORMA.</w:t>
      </w:r>
    </w:p>
    <w:p w:rsidR="00496815" w:rsidRDefault="00496815" w:rsidP="00496815">
      <w:pPr>
        <w:shd w:val="clear" w:color="auto" w:fill="FFFFFF"/>
        <w:spacing w:after="0" w:line="240" w:lineRule="auto"/>
      </w:pPr>
    </w:p>
    <w:p w:rsidR="00EB213A" w:rsidRDefault="009C662A" w:rsidP="0049681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t xml:space="preserve">Sr. </w:t>
      </w:r>
      <w:r w:rsidR="00797F7E">
        <w:rPr>
          <w:rFonts w:asciiTheme="minorHAnsi" w:eastAsia="Times New Roman" w:hAnsiTheme="minorHAnsi" w:cs="Arial"/>
          <w:color w:val="000000"/>
          <w:lang w:val="es-ES" w:eastAsia="es-ES"/>
        </w:rPr>
        <w:t>Christian Little</w:t>
      </w: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 xml:space="preserve">, </w:t>
      </w:r>
      <w:r w:rsidR="00797F7E">
        <w:rPr>
          <w:rFonts w:asciiTheme="minorHAnsi" w:eastAsia="Times New Roman" w:hAnsiTheme="minorHAnsi" w:cs="Arial"/>
          <w:color w:val="000000"/>
          <w:lang w:val="es-ES" w:eastAsia="es-ES"/>
        </w:rPr>
        <w:t xml:space="preserve">Investigador </w:t>
      </w:r>
      <w:r w:rsidR="00496815">
        <w:rPr>
          <w:rFonts w:asciiTheme="minorHAnsi" w:eastAsia="Times New Roman" w:hAnsiTheme="minorHAnsi" w:cs="Arial"/>
          <w:color w:val="000000"/>
          <w:lang w:val="es-ES" w:eastAsia="es-ES"/>
        </w:rPr>
        <w:t>Sede Valdivia</w:t>
      </w:r>
      <w:r w:rsidR="00496815">
        <w:rPr>
          <w:rFonts w:asciiTheme="minorHAnsi" w:eastAsia="Times New Roman" w:hAnsiTheme="minorHAnsi" w:cs="Arial"/>
          <w:color w:val="000000"/>
          <w:lang w:val="es-ES" w:eastAsia="es-ES"/>
        </w:rPr>
        <w:t xml:space="preserve"> </w:t>
      </w:r>
      <w:r w:rsidR="00797F7E">
        <w:rPr>
          <w:rFonts w:asciiTheme="minorHAnsi" w:eastAsia="Times New Roman" w:hAnsiTheme="minorHAnsi" w:cs="Arial"/>
          <w:color w:val="000000"/>
          <w:lang w:val="es-ES" w:eastAsia="es-ES"/>
        </w:rPr>
        <w:t>INFOR</w:t>
      </w:r>
      <w:r w:rsidR="007A08E6" w:rsidRPr="00E55A0F">
        <w:rPr>
          <w:rFonts w:asciiTheme="minorHAnsi" w:eastAsia="Times New Roman" w:hAnsiTheme="minorHAnsi" w:cs="Arial"/>
          <w:color w:val="000000"/>
          <w:lang w:val="es-ES" w:eastAsia="es-ES"/>
        </w:rPr>
        <w:t>.</w:t>
      </w:r>
    </w:p>
    <w:p w:rsidR="00496815" w:rsidRDefault="00496815" w:rsidP="0049681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496815" w:rsidRPr="00E55A0F" w:rsidRDefault="00496815" w:rsidP="0049681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>
        <w:rPr>
          <w:rFonts w:asciiTheme="minorHAnsi" w:eastAsia="Times New Roman" w:hAnsiTheme="minorHAnsi" w:cs="Arial"/>
          <w:color w:val="000000"/>
          <w:lang w:val="es-ES" w:eastAsia="es-ES"/>
        </w:rPr>
        <w:t xml:space="preserve">Sr. Iván Chacón, Consejero </w:t>
      </w:r>
    </w:p>
    <w:p w:rsidR="00C8398C" w:rsidRDefault="00C8398C" w:rsidP="00496815">
      <w:pPr>
        <w:shd w:val="clear" w:color="auto" w:fill="FFFFFF"/>
        <w:spacing w:after="0" w:line="240" w:lineRule="auto"/>
      </w:pPr>
    </w:p>
    <w:p w:rsidR="009C662A" w:rsidRDefault="00797F7E" w:rsidP="00496815">
      <w:pPr>
        <w:shd w:val="clear" w:color="auto" w:fill="FFFFFF"/>
        <w:spacing w:after="0" w:line="240" w:lineRule="auto"/>
      </w:pPr>
      <w:r>
        <w:t>Sr. Jorge Correa</w:t>
      </w:r>
      <w:r w:rsidR="00496815">
        <w:t>,</w:t>
      </w:r>
      <w:r>
        <w:t xml:space="preserve"> Integrante Secretaría Técnica</w:t>
      </w:r>
      <w:r w:rsidR="00496815" w:rsidRPr="00496815">
        <w:t xml:space="preserve"> CONAF.</w:t>
      </w:r>
    </w:p>
    <w:p w:rsidR="00C8398C" w:rsidRDefault="00C8398C" w:rsidP="0049681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74586A" w:rsidRPr="00797F7E" w:rsidRDefault="00BA2B39" w:rsidP="0049681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>Sr. Samuel Francke</w:t>
      </w:r>
      <w:r w:rsidR="00496815">
        <w:rPr>
          <w:rFonts w:asciiTheme="minorHAnsi" w:eastAsia="Times New Roman" w:hAnsiTheme="minorHAnsi" w:cs="Arial"/>
          <w:color w:val="000000"/>
          <w:lang w:val="es-ES" w:eastAsia="es-ES"/>
        </w:rPr>
        <w:t>,</w:t>
      </w: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 xml:space="preserve"> Profesional Depto. Plantaciones </w:t>
      </w:r>
      <w:r w:rsidR="00496815">
        <w:rPr>
          <w:rFonts w:asciiTheme="minorHAnsi" w:eastAsia="Times New Roman" w:hAnsiTheme="minorHAnsi" w:cs="Arial"/>
          <w:color w:val="000000"/>
          <w:lang w:val="es-ES" w:eastAsia="es-ES"/>
        </w:rPr>
        <w:t>CONAF.</w:t>
      </w:r>
    </w:p>
    <w:p w:rsidR="00C8398C" w:rsidRDefault="00C8398C" w:rsidP="00496815">
      <w:pPr>
        <w:pStyle w:val="Prrafodelista"/>
        <w:spacing w:after="0" w:line="240" w:lineRule="auto"/>
        <w:ind w:left="0"/>
        <w:contextualSpacing w:val="0"/>
        <w:jc w:val="both"/>
      </w:pPr>
    </w:p>
    <w:p w:rsidR="00945EC6" w:rsidRPr="00E55A0F" w:rsidRDefault="00E55A0F" w:rsidP="00496815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</w:t>
      </w:r>
      <w:r>
        <w:t xml:space="preserve">ra. Paula </w:t>
      </w:r>
      <w:r w:rsidR="0052787E" w:rsidRPr="00E55A0F">
        <w:t>Vásquez</w:t>
      </w:r>
      <w:r w:rsidR="00496815">
        <w:t>,</w:t>
      </w:r>
      <w:r w:rsidR="0052787E" w:rsidRPr="00E55A0F">
        <w:t xml:space="preserve"> </w:t>
      </w:r>
      <w:r w:rsidR="00496815">
        <w:t xml:space="preserve">Profesional Depto. Normas y Procedimientos </w:t>
      </w:r>
      <w:r w:rsidR="00B325DA" w:rsidRPr="00E55A0F">
        <w:t>C</w:t>
      </w:r>
      <w:r w:rsidRPr="00E55A0F">
        <w:t>ONAF</w:t>
      </w:r>
      <w:r w:rsidR="00496815">
        <w:t>.</w:t>
      </w:r>
    </w:p>
    <w:p w:rsidR="00C8398C" w:rsidRDefault="00C8398C" w:rsidP="00496815">
      <w:pPr>
        <w:pStyle w:val="Prrafodelista"/>
        <w:spacing w:after="0" w:line="240" w:lineRule="auto"/>
        <w:ind w:left="0"/>
        <w:contextualSpacing w:val="0"/>
        <w:jc w:val="both"/>
      </w:pPr>
    </w:p>
    <w:p w:rsidR="00EB213A" w:rsidRPr="0026190A" w:rsidRDefault="00C16A9B" w:rsidP="00496815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 xml:space="preserve">Sr. </w:t>
      </w:r>
      <w:r w:rsidR="00EB213A" w:rsidRPr="00E55A0F">
        <w:t>Francisco Pozo, Profesional Secretaria</w:t>
      </w:r>
      <w:r w:rsidR="00EB213A">
        <w:t xml:space="preserve"> Política Forestal</w:t>
      </w:r>
      <w:r w:rsidR="00496815" w:rsidRPr="00496815">
        <w:t xml:space="preserve"> CONAF.</w:t>
      </w:r>
    </w:p>
    <w:p w:rsidR="0026190A" w:rsidRPr="0026190A" w:rsidRDefault="0026190A" w:rsidP="00496815">
      <w:pPr>
        <w:pStyle w:val="Prrafodelista"/>
        <w:spacing w:after="0" w:line="240" w:lineRule="auto"/>
        <w:ind w:left="0"/>
        <w:contextualSpacing w:val="0"/>
        <w:jc w:val="both"/>
      </w:pPr>
    </w:p>
    <w:p w:rsidR="0026190A" w:rsidRDefault="0026190A" w:rsidP="00496815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Default="0026190A" w:rsidP="00496815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Pr="0026190A" w:rsidRDefault="0026190A" w:rsidP="00496815">
      <w:pPr>
        <w:pStyle w:val="Prrafodelista"/>
        <w:spacing w:after="0" w:line="240" w:lineRule="auto"/>
        <w:ind w:left="0"/>
        <w:contextualSpacing w:val="0"/>
        <w:jc w:val="both"/>
      </w:pPr>
    </w:p>
    <w:p w:rsidR="0026190A" w:rsidRDefault="0026190A" w:rsidP="00496815">
      <w:pPr>
        <w:pStyle w:val="Prrafodelista"/>
        <w:spacing w:after="0" w:line="240" w:lineRule="auto"/>
        <w:ind w:left="0"/>
        <w:contextualSpacing w:val="0"/>
        <w:jc w:val="both"/>
        <w:rPr>
          <w:highlight w:val="yellow"/>
        </w:rPr>
      </w:pPr>
    </w:p>
    <w:p w:rsidR="007A08E6" w:rsidRDefault="007A08E6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8303FF" w:rsidRDefault="008303FF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720FA8" w:rsidRDefault="00720FA8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720FA8" w:rsidRDefault="00720FA8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720FA8" w:rsidRDefault="00720FA8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C311D" w:rsidRDefault="00A15CE8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  <w:r>
        <w:rPr>
          <w:rFonts w:cs="Arial"/>
          <w:b/>
          <w:sz w:val="28"/>
          <w:u w:val="single"/>
          <w:lang w:val="es-MX"/>
        </w:rPr>
        <w:t>RESUMEN DE LA REUNI</w:t>
      </w:r>
      <w:r w:rsidR="006C311D" w:rsidRPr="004D28E8">
        <w:rPr>
          <w:rFonts w:cs="Arial"/>
          <w:b/>
          <w:sz w:val="28"/>
          <w:u w:val="single"/>
          <w:lang w:val="es-MX"/>
        </w:rPr>
        <w:t>ÓN</w:t>
      </w:r>
    </w:p>
    <w:p w:rsidR="00797F7E" w:rsidRDefault="00797F7E" w:rsidP="00496815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C8398C" w:rsidRDefault="00C8398C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7A08E6" w:rsidRDefault="006C311D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706DA7">
        <w:rPr>
          <w:rFonts w:cs="Arial"/>
          <w:lang w:val="es-MX"/>
        </w:rPr>
        <w:t xml:space="preserve">La </w:t>
      </w:r>
      <w:r w:rsidR="00707006">
        <w:rPr>
          <w:rFonts w:cs="Arial"/>
          <w:lang w:val="es-MX"/>
        </w:rPr>
        <w:t>reunión comienza con las palabras</w:t>
      </w:r>
      <w:r w:rsidR="00C16A9B">
        <w:rPr>
          <w:rFonts w:cs="Arial"/>
          <w:lang w:val="es-MX"/>
        </w:rPr>
        <w:t xml:space="preserve"> de bienvenida del Presidente</w:t>
      </w:r>
      <w:r w:rsidR="008303FF">
        <w:rPr>
          <w:rFonts w:cs="Arial"/>
          <w:lang w:val="es-MX"/>
        </w:rPr>
        <w:t xml:space="preserve"> del</w:t>
      </w:r>
      <w:r w:rsidR="00496815">
        <w:rPr>
          <w:rFonts w:cs="Arial"/>
          <w:lang w:val="es-MX"/>
        </w:rPr>
        <w:t xml:space="preserve"> </w:t>
      </w:r>
      <w:r w:rsidR="008303FF">
        <w:rPr>
          <w:rFonts w:cs="Arial"/>
          <w:lang w:val="es-MX"/>
        </w:rPr>
        <w:t>Comité</w:t>
      </w:r>
      <w:r w:rsidR="00C16A9B">
        <w:rPr>
          <w:rFonts w:cs="Arial"/>
          <w:lang w:val="es-MX"/>
        </w:rPr>
        <w:t xml:space="preserve"> Sr.</w:t>
      </w:r>
      <w:r w:rsidR="0055424D">
        <w:rPr>
          <w:rFonts w:cs="Arial"/>
          <w:lang w:val="es-MX"/>
        </w:rPr>
        <w:t xml:space="preserve"> </w:t>
      </w:r>
      <w:r w:rsidR="00C16A9B">
        <w:rPr>
          <w:rFonts w:cs="Arial"/>
          <w:lang w:val="es-MX"/>
        </w:rPr>
        <w:t>Aarón Cavieres</w:t>
      </w:r>
      <w:r w:rsidR="00707006">
        <w:rPr>
          <w:rFonts w:cs="Arial"/>
          <w:lang w:val="es-MX"/>
        </w:rPr>
        <w:t>.</w:t>
      </w:r>
    </w:p>
    <w:p w:rsidR="00496815" w:rsidRDefault="00496815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C40EF0" w:rsidRDefault="00797F7E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Posteriormente el Secretario </w:t>
      </w:r>
      <w:r w:rsidR="00496815">
        <w:rPr>
          <w:rFonts w:cs="Arial"/>
          <w:lang w:val="es-MX"/>
        </w:rPr>
        <w:t>T</w:t>
      </w:r>
      <w:r>
        <w:rPr>
          <w:rFonts w:cs="Arial"/>
          <w:lang w:val="es-MX"/>
        </w:rPr>
        <w:t>écnico de</w:t>
      </w:r>
      <w:r w:rsidR="00A17484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>l</w:t>
      </w:r>
      <w:r w:rsidR="00A17484">
        <w:rPr>
          <w:rFonts w:cs="Arial"/>
          <w:lang w:val="es-MX"/>
        </w:rPr>
        <w:t>a Comisión Temática</w:t>
      </w:r>
      <w:r>
        <w:rPr>
          <w:rFonts w:cs="Arial"/>
          <w:lang w:val="es-MX"/>
        </w:rPr>
        <w:t>, Sr</w:t>
      </w:r>
      <w:r w:rsidR="00496815">
        <w:rPr>
          <w:rFonts w:cs="Arial"/>
          <w:lang w:val="es-MX"/>
        </w:rPr>
        <w:t>.</w:t>
      </w:r>
      <w:r>
        <w:rPr>
          <w:rFonts w:cs="Arial"/>
          <w:lang w:val="es-MX"/>
        </w:rPr>
        <w:t xml:space="preserve"> Francisco Pozo</w:t>
      </w:r>
      <w:r w:rsidR="00496815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realiza una </w:t>
      </w:r>
      <w:r w:rsidR="00C40EF0">
        <w:rPr>
          <w:rFonts w:cs="Arial"/>
          <w:lang w:val="es-MX"/>
        </w:rPr>
        <w:t xml:space="preserve">breve </w:t>
      </w:r>
      <w:r>
        <w:rPr>
          <w:rFonts w:cs="Arial"/>
          <w:lang w:val="es-MX"/>
        </w:rPr>
        <w:t>introducción</w:t>
      </w:r>
      <w:r w:rsidR="00C40EF0">
        <w:rPr>
          <w:rFonts w:cs="Arial"/>
          <w:lang w:val="es-MX"/>
        </w:rPr>
        <w:t>, dando a conocer que esta es la octava reunión del grupo y que en esta oportunidad corresponde realizar observaciones a la propuesta sobre el ancho de las zonas de protección para los cursos</w:t>
      </w:r>
      <w:r w:rsidR="00A17484">
        <w:rPr>
          <w:rFonts w:cs="Arial"/>
          <w:lang w:val="es-MX"/>
        </w:rPr>
        <w:t xml:space="preserve"> y cuerpos</w:t>
      </w:r>
      <w:r w:rsidR="00C40EF0">
        <w:rPr>
          <w:rFonts w:cs="Arial"/>
          <w:lang w:val="es-MX"/>
        </w:rPr>
        <w:t xml:space="preserve"> de agua, </w:t>
      </w:r>
      <w:r w:rsidR="00A17484">
        <w:rPr>
          <w:rFonts w:cs="Arial"/>
          <w:lang w:val="es-MX"/>
        </w:rPr>
        <w:t xml:space="preserve">manantiales y humedales, </w:t>
      </w:r>
      <w:r w:rsidR="00C40EF0">
        <w:rPr>
          <w:rFonts w:cs="Arial"/>
          <w:lang w:val="es-MX"/>
        </w:rPr>
        <w:t>tanto para las microcuencas abastecedoras de agua potable como las demás zonas en general. Esta</w:t>
      </w:r>
      <w:r w:rsidR="00496815">
        <w:rPr>
          <w:rFonts w:cs="Arial"/>
          <w:lang w:val="es-MX"/>
        </w:rPr>
        <w:t xml:space="preserve"> </w:t>
      </w:r>
      <w:r w:rsidR="00C40EF0">
        <w:rPr>
          <w:rFonts w:cs="Arial"/>
          <w:lang w:val="es-MX"/>
        </w:rPr>
        <w:t xml:space="preserve">propuesta fue </w:t>
      </w:r>
      <w:r w:rsidR="00A17484">
        <w:rPr>
          <w:rFonts w:cs="Arial"/>
          <w:lang w:val="es-MX"/>
        </w:rPr>
        <w:t>confeccionada</w:t>
      </w:r>
      <w:r w:rsidR="00496815">
        <w:rPr>
          <w:rFonts w:cs="Arial"/>
          <w:lang w:val="es-MX"/>
        </w:rPr>
        <w:t xml:space="preserve"> </w:t>
      </w:r>
      <w:r w:rsidR="00A17484">
        <w:rPr>
          <w:rFonts w:cs="Arial"/>
          <w:lang w:val="es-MX"/>
        </w:rPr>
        <w:t>por la S</w:t>
      </w:r>
      <w:r w:rsidR="00C40EF0">
        <w:rPr>
          <w:rFonts w:cs="Arial"/>
          <w:lang w:val="es-MX"/>
        </w:rPr>
        <w:t xml:space="preserve">ecretaría </w:t>
      </w:r>
      <w:r w:rsidR="00A17484">
        <w:rPr>
          <w:rFonts w:cs="Arial"/>
          <w:lang w:val="es-MX"/>
        </w:rPr>
        <w:t>T</w:t>
      </w:r>
      <w:r w:rsidR="00C40EF0">
        <w:rPr>
          <w:rFonts w:cs="Arial"/>
          <w:lang w:val="es-MX"/>
        </w:rPr>
        <w:t xml:space="preserve">écnica, dado que existieron observaciones en este punto en la presentación del </w:t>
      </w:r>
      <w:r w:rsidR="00A17484">
        <w:rPr>
          <w:rFonts w:cs="Arial"/>
          <w:lang w:val="es-MX"/>
        </w:rPr>
        <w:t>P</w:t>
      </w:r>
      <w:r w:rsidR="00C40EF0">
        <w:rPr>
          <w:rFonts w:cs="Arial"/>
          <w:lang w:val="es-MX"/>
        </w:rPr>
        <w:t xml:space="preserve">rotocolo </w:t>
      </w:r>
      <w:r w:rsidR="00A17484">
        <w:rPr>
          <w:rFonts w:cs="Arial"/>
          <w:lang w:val="es-MX"/>
        </w:rPr>
        <w:t xml:space="preserve">de Plantaciones </w:t>
      </w:r>
      <w:r w:rsidR="00C40EF0">
        <w:rPr>
          <w:rFonts w:cs="Arial"/>
          <w:lang w:val="es-MX"/>
        </w:rPr>
        <w:t>en la Sesión Plenaria del Consejo de Política Forestal realizada el 13 de julio del presente en la cuidad de Valdivia.</w:t>
      </w:r>
    </w:p>
    <w:p w:rsidR="00C40EF0" w:rsidRDefault="00C40EF0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51C4B" w:rsidRDefault="00C40EF0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La propuesta consideró trabajos </w:t>
      </w:r>
      <w:r w:rsidR="00A17484">
        <w:rPr>
          <w:rFonts w:cs="Arial"/>
          <w:lang w:val="es-MX"/>
        </w:rPr>
        <w:t xml:space="preserve">de investigación </w:t>
      </w:r>
      <w:r>
        <w:rPr>
          <w:rFonts w:cs="Arial"/>
          <w:lang w:val="es-MX"/>
        </w:rPr>
        <w:t>reali</w:t>
      </w:r>
      <w:r w:rsidR="00E51C4B">
        <w:rPr>
          <w:rFonts w:cs="Arial"/>
          <w:lang w:val="es-MX"/>
        </w:rPr>
        <w:t xml:space="preserve">zados por los </w:t>
      </w:r>
      <w:r w:rsidR="00A17484">
        <w:rPr>
          <w:rFonts w:cs="Arial"/>
          <w:lang w:val="es-MX"/>
        </w:rPr>
        <w:t xml:space="preserve">señores </w:t>
      </w:r>
      <w:r w:rsidR="00E51C4B">
        <w:rPr>
          <w:rFonts w:cs="Arial"/>
          <w:lang w:val="es-MX"/>
        </w:rPr>
        <w:t xml:space="preserve">Andrés Iroumé y </w:t>
      </w:r>
      <w:proofErr w:type="spellStart"/>
      <w:r w:rsidR="00E51C4B">
        <w:rPr>
          <w:rFonts w:cs="Arial"/>
          <w:lang w:val="es-MX"/>
        </w:rPr>
        <w:t>Anton</w:t>
      </w:r>
      <w:proofErr w:type="spellEnd"/>
      <w:r w:rsidR="00E51C4B">
        <w:rPr>
          <w:rFonts w:cs="Arial"/>
          <w:lang w:val="es-MX"/>
        </w:rPr>
        <w:t xml:space="preserve"> Huber, los cuales estudi</w:t>
      </w:r>
      <w:r w:rsidR="00A17484">
        <w:rPr>
          <w:rFonts w:cs="Arial"/>
          <w:lang w:val="es-MX"/>
        </w:rPr>
        <w:t xml:space="preserve">aron el </w:t>
      </w:r>
      <w:r w:rsidR="00E51C4B">
        <w:rPr>
          <w:rFonts w:cs="Arial"/>
          <w:lang w:val="es-MX"/>
        </w:rPr>
        <w:t>control de sedimentos para pendientes inferiores al 24%, en zonas con cosechas a tala rasa y con quema de desechos. Para pendientes mayores, se consideró un estudio realizado por Don Christian Little</w:t>
      </w:r>
      <w:r w:rsidR="00A17484">
        <w:rPr>
          <w:rFonts w:cs="Arial"/>
          <w:lang w:val="es-MX"/>
        </w:rPr>
        <w:t>. A</w:t>
      </w:r>
      <w:r w:rsidR="00E51C4B">
        <w:rPr>
          <w:rFonts w:cs="Arial"/>
          <w:lang w:val="es-MX"/>
        </w:rPr>
        <w:t>mbos estudios fueron</w:t>
      </w:r>
      <w:r w:rsidR="00496815">
        <w:rPr>
          <w:rFonts w:cs="Arial"/>
          <w:lang w:val="es-MX"/>
        </w:rPr>
        <w:t xml:space="preserve"> </w:t>
      </w:r>
      <w:r w:rsidR="00E51C4B">
        <w:rPr>
          <w:rFonts w:cs="Arial"/>
          <w:lang w:val="es-MX"/>
        </w:rPr>
        <w:t xml:space="preserve">realizados en las cercanías de Valdivia. </w:t>
      </w:r>
    </w:p>
    <w:p w:rsidR="00A17484" w:rsidRDefault="00A17484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5582A" w:rsidRDefault="00E5582A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Se analiza en forma extensa las métricas propuestas en base a una serie de factores tales como, pendiente, pluviometría, cantidad de superficie destina</w:t>
      </w:r>
      <w:r w:rsidR="00A17484">
        <w:rPr>
          <w:rFonts w:cs="Arial"/>
          <w:lang w:val="es-MX"/>
        </w:rPr>
        <w:t>da</w:t>
      </w:r>
      <w:r>
        <w:rPr>
          <w:rFonts w:cs="Arial"/>
          <w:lang w:val="es-MX"/>
        </w:rPr>
        <w:t xml:space="preserve"> a la protección de los suelos y agua en manos de los pequeños y mediana propiedad, entre otros factores</w:t>
      </w:r>
      <w:r w:rsidR="004A3816">
        <w:rPr>
          <w:rFonts w:cs="Arial"/>
          <w:lang w:val="es-MX"/>
        </w:rPr>
        <w:t>.</w:t>
      </w:r>
    </w:p>
    <w:p w:rsidR="00A17484" w:rsidRDefault="00A17484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C40EF0" w:rsidRDefault="00E51C4B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Tras</w:t>
      </w:r>
      <w:r w:rsidR="004A3816">
        <w:rPr>
          <w:rFonts w:cs="Arial"/>
          <w:lang w:val="es-MX"/>
        </w:rPr>
        <w:t xml:space="preserve"> </w:t>
      </w:r>
      <w:r w:rsidR="00ED3281">
        <w:rPr>
          <w:rFonts w:cs="Arial"/>
          <w:lang w:val="es-MX"/>
        </w:rPr>
        <w:t xml:space="preserve">los </w:t>
      </w:r>
      <w:r w:rsidR="004A3816">
        <w:rPr>
          <w:rFonts w:cs="Arial"/>
          <w:lang w:val="es-MX"/>
        </w:rPr>
        <w:t>análisis</w:t>
      </w:r>
      <w:r w:rsidR="00ED3281">
        <w:rPr>
          <w:rFonts w:cs="Arial"/>
          <w:lang w:val="es-MX"/>
        </w:rPr>
        <w:t xml:space="preserve"> y discusión</w:t>
      </w:r>
      <w:r w:rsidR="004A3816">
        <w:rPr>
          <w:rFonts w:cs="Arial"/>
          <w:lang w:val="es-MX"/>
        </w:rPr>
        <w:t xml:space="preserve"> se consensu</w:t>
      </w:r>
      <w:r w:rsidR="00ED3281">
        <w:rPr>
          <w:rFonts w:cs="Arial"/>
          <w:lang w:val="es-MX"/>
        </w:rPr>
        <w:t xml:space="preserve">aron los </w:t>
      </w:r>
      <w:r w:rsidR="004A3816">
        <w:rPr>
          <w:rFonts w:cs="Arial"/>
          <w:lang w:val="es-MX"/>
        </w:rPr>
        <w:t>siguiente</w:t>
      </w:r>
      <w:r w:rsidR="00ED3281">
        <w:rPr>
          <w:rFonts w:cs="Arial"/>
          <w:lang w:val="es-MX"/>
        </w:rPr>
        <w:t>s anchos de la zona de protección</w:t>
      </w:r>
      <w:r w:rsidR="00E5582A">
        <w:rPr>
          <w:rFonts w:cs="Arial"/>
          <w:lang w:val="es-MX"/>
        </w:rPr>
        <w:t>:</w:t>
      </w:r>
    </w:p>
    <w:p w:rsidR="00E5582A" w:rsidRDefault="00E5582A" w:rsidP="00496815">
      <w:pPr>
        <w:spacing w:after="0" w:line="240" w:lineRule="auto"/>
        <w:ind w:right="49"/>
        <w:jc w:val="both"/>
        <w:rPr>
          <w:rFonts w:cs="Arial"/>
          <w:lang w:val="es-MX"/>
        </w:rPr>
      </w:pPr>
    </w:p>
    <w:tbl>
      <w:tblPr>
        <w:tblW w:w="3511" w:type="pct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763"/>
        <w:gridCol w:w="1050"/>
        <w:gridCol w:w="814"/>
      </w:tblGrid>
      <w:tr w:rsidR="00ED3281" w:rsidRPr="001479AD" w:rsidTr="00CB1D3D">
        <w:trPr>
          <w:trHeight w:val="300"/>
          <w:jc w:val="center"/>
        </w:trPr>
        <w:tc>
          <w:tcPr>
            <w:tcW w:w="2916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1479AD">
              <w:rPr>
                <w:rFonts w:eastAsia="Times New Roman"/>
                <w:b/>
                <w:bCs/>
                <w:color w:val="000000"/>
                <w:lang w:eastAsia="es-CL"/>
              </w:rPr>
              <w:t>Categoría</w:t>
            </w:r>
          </w:p>
        </w:tc>
        <w:tc>
          <w:tcPr>
            <w:tcW w:w="2084" w:type="pct"/>
            <w:gridSpan w:val="3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D3281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Ancho z</w:t>
            </w:r>
            <w:r w:rsidRPr="001479AD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ona de </w:t>
            </w:r>
          </w:p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p</w:t>
            </w:r>
            <w:r w:rsidRPr="001479AD">
              <w:rPr>
                <w:rFonts w:eastAsia="Times New Roman"/>
                <w:b/>
                <w:bCs/>
                <w:color w:val="000000"/>
                <w:lang w:eastAsia="es-CL"/>
              </w:rPr>
              <w:t>rotección general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(m)</w:t>
            </w:r>
          </w:p>
        </w:tc>
      </w:tr>
      <w:tr w:rsidR="00ED3281" w:rsidRPr="001479AD" w:rsidTr="00CB1D3D">
        <w:trPr>
          <w:trHeight w:val="300"/>
          <w:jc w:val="center"/>
        </w:trPr>
        <w:tc>
          <w:tcPr>
            <w:tcW w:w="2916" w:type="pct"/>
            <w:vMerge/>
            <w:shd w:val="clear" w:color="auto" w:fill="D6E3BC" w:themeFill="accent3" w:themeFillTint="66"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4" w:type="pct"/>
            <w:gridSpan w:val="3"/>
            <w:vMerge/>
            <w:shd w:val="clear" w:color="auto" w:fill="D6E3BC" w:themeFill="accent3" w:themeFillTint="66"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ED3281" w:rsidRPr="001479AD" w:rsidTr="00CB1D3D">
        <w:trPr>
          <w:trHeight w:val="269"/>
          <w:jc w:val="center"/>
        </w:trPr>
        <w:tc>
          <w:tcPr>
            <w:tcW w:w="2916" w:type="pct"/>
            <w:vMerge/>
            <w:shd w:val="clear" w:color="auto" w:fill="D6E3BC" w:themeFill="accent3" w:themeFillTint="66"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4" w:type="pct"/>
            <w:gridSpan w:val="3"/>
            <w:vMerge/>
            <w:shd w:val="clear" w:color="auto" w:fill="D6E3BC" w:themeFill="accent3" w:themeFillTint="66"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ED3281" w:rsidRPr="001479AD" w:rsidTr="00CB1D3D">
        <w:trPr>
          <w:trHeight w:val="315"/>
          <w:jc w:val="center"/>
        </w:trPr>
        <w:tc>
          <w:tcPr>
            <w:tcW w:w="2916" w:type="pct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05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1479AD">
              <w:rPr>
                <w:rFonts w:eastAsia="Times New Roman"/>
                <w:b/>
                <w:bCs/>
                <w:color w:val="000000"/>
                <w:lang w:eastAsia="es-CL"/>
              </w:rPr>
              <w:t>&lt;30%</w:t>
            </w:r>
          </w:p>
        </w:tc>
        <w:tc>
          <w:tcPr>
            <w:tcW w:w="833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1479AD">
              <w:rPr>
                <w:rFonts w:eastAsia="Times New Roman"/>
                <w:b/>
                <w:bCs/>
                <w:color w:val="000000"/>
                <w:lang w:eastAsia="es-CL"/>
              </w:rPr>
              <w:t>30 - 45%</w:t>
            </w:r>
          </w:p>
        </w:tc>
        <w:tc>
          <w:tcPr>
            <w:tcW w:w="64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1479AD">
              <w:rPr>
                <w:rFonts w:eastAsia="Times New Roman"/>
                <w:b/>
                <w:bCs/>
                <w:color w:val="000000"/>
                <w:lang w:eastAsia="es-CL"/>
              </w:rPr>
              <w:t>&gt; 45%</w:t>
            </w:r>
          </w:p>
        </w:tc>
      </w:tr>
      <w:tr w:rsidR="00ED3281" w:rsidRPr="001479AD" w:rsidTr="00CB1D3D">
        <w:trPr>
          <w:trHeight w:val="315"/>
          <w:jc w:val="center"/>
        </w:trPr>
        <w:tc>
          <w:tcPr>
            <w:tcW w:w="291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color w:val="000000"/>
                <w:lang w:eastAsia="es-CL"/>
              </w:rPr>
              <w:t>Humedales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833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646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1479AD" w:rsidTr="00CB1D3D">
        <w:trPr>
          <w:trHeight w:val="315"/>
          <w:jc w:val="center"/>
        </w:trPr>
        <w:tc>
          <w:tcPr>
            <w:tcW w:w="291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color w:val="000000"/>
                <w:lang w:eastAsia="es-CL"/>
              </w:rPr>
              <w:t>Manantiales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833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646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1479AD" w:rsidTr="00CB1D3D">
        <w:trPr>
          <w:trHeight w:val="315"/>
          <w:jc w:val="center"/>
        </w:trPr>
        <w:tc>
          <w:tcPr>
            <w:tcW w:w="291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color w:val="000000"/>
                <w:lang w:eastAsia="es-CL"/>
              </w:rPr>
              <w:t>Cuerpos de agua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833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646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1479AD" w:rsidTr="00CB1D3D">
        <w:trPr>
          <w:trHeight w:val="419"/>
          <w:jc w:val="center"/>
        </w:trPr>
        <w:tc>
          <w:tcPr>
            <w:tcW w:w="291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color w:val="000000"/>
                <w:lang w:eastAsia="es-CL"/>
              </w:rPr>
              <w:t>Ríos y esteros permanente y temporal</w:t>
            </w:r>
          </w:p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&gt; 0,5 m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833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646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1479AD" w:rsidTr="00CB1D3D">
        <w:trPr>
          <w:trHeight w:val="341"/>
          <w:jc w:val="center"/>
        </w:trPr>
        <w:tc>
          <w:tcPr>
            <w:tcW w:w="291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color w:val="000000"/>
                <w:lang w:eastAsia="es-CL"/>
              </w:rPr>
              <w:t>Estero permanente y temporal</w:t>
            </w:r>
          </w:p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&lt; 0,5 m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833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646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</w:tr>
      <w:tr w:rsidR="00ED3281" w:rsidRPr="001479AD" w:rsidTr="00CB1D3D">
        <w:trPr>
          <w:trHeight w:val="405"/>
          <w:jc w:val="center"/>
        </w:trPr>
        <w:tc>
          <w:tcPr>
            <w:tcW w:w="291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color w:val="000000"/>
                <w:lang w:eastAsia="es-CL"/>
              </w:rPr>
              <w:t xml:space="preserve">Quebrada permanente </w:t>
            </w:r>
          </w:p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&lt; 0,5 m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5</w:t>
            </w:r>
          </w:p>
        </w:tc>
        <w:tc>
          <w:tcPr>
            <w:tcW w:w="833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646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</w:tr>
      <w:tr w:rsidR="00ED3281" w:rsidRPr="001479AD" w:rsidTr="00CB1D3D">
        <w:trPr>
          <w:trHeight w:val="341"/>
          <w:jc w:val="center"/>
        </w:trPr>
        <w:tc>
          <w:tcPr>
            <w:tcW w:w="2916" w:type="pct"/>
            <w:shd w:val="clear" w:color="auto" w:fill="D6E3BC" w:themeFill="accent3" w:themeFillTint="66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color w:val="000000"/>
                <w:lang w:eastAsia="es-CL"/>
              </w:rPr>
              <w:t xml:space="preserve">Quebrada no permanente </w:t>
            </w:r>
          </w:p>
          <w:p w:rsidR="00ED3281" w:rsidRPr="001479AD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&lt; 0,5 m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1479A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5</w:t>
            </w:r>
          </w:p>
        </w:tc>
        <w:tc>
          <w:tcPr>
            <w:tcW w:w="833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5</w:t>
            </w:r>
          </w:p>
        </w:tc>
        <w:tc>
          <w:tcPr>
            <w:tcW w:w="646" w:type="pct"/>
            <w:shd w:val="clear" w:color="000000" w:fill="FFFFFF"/>
            <w:noWrap/>
            <w:vAlign w:val="center"/>
            <w:hideMark/>
          </w:tcPr>
          <w:p w:rsidR="00ED3281" w:rsidRPr="001479AD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1479AD">
              <w:rPr>
                <w:rFonts w:eastAsia="Times New Roman"/>
                <w:color w:val="000000" w:themeColor="text1"/>
                <w:lang w:eastAsia="es-CL"/>
              </w:rPr>
              <w:t>5</w:t>
            </w:r>
          </w:p>
        </w:tc>
      </w:tr>
    </w:tbl>
    <w:p w:rsidR="004A3816" w:rsidRDefault="004A3816" w:rsidP="00496815">
      <w:pPr>
        <w:pStyle w:val="Prrafodelista"/>
        <w:spacing w:after="0" w:line="240" w:lineRule="auto"/>
        <w:ind w:left="405" w:right="49"/>
        <w:jc w:val="both"/>
        <w:rPr>
          <w:rFonts w:asciiTheme="minorHAnsi" w:eastAsiaTheme="minorHAnsi" w:hAnsiTheme="minorHAnsi" w:cstheme="minorBidi"/>
          <w:lang w:val="es-MX"/>
        </w:rPr>
      </w:pPr>
    </w:p>
    <w:p w:rsidR="004A3816" w:rsidRDefault="004A3816" w:rsidP="00496815">
      <w:pPr>
        <w:pStyle w:val="Prrafodelista"/>
        <w:spacing w:after="0" w:line="240" w:lineRule="auto"/>
        <w:ind w:left="405" w:right="49"/>
        <w:jc w:val="both"/>
        <w:rPr>
          <w:rFonts w:asciiTheme="minorHAnsi" w:eastAsiaTheme="minorHAnsi" w:hAnsiTheme="minorHAnsi" w:cstheme="minorBidi"/>
          <w:lang w:val="es-MX"/>
        </w:rPr>
      </w:pPr>
    </w:p>
    <w:p w:rsidR="004A3816" w:rsidRDefault="004A3816" w:rsidP="00496815">
      <w:pPr>
        <w:pStyle w:val="Prrafodelista"/>
        <w:spacing w:after="0" w:line="240" w:lineRule="auto"/>
        <w:ind w:left="405" w:right="49"/>
        <w:jc w:val="both"/>
        <w:rPr>
          <w:rFonts w:asciiTheme="minorHAnsi" w:eastAsiaTheme="minorHAnsi" w:hAnsiTheme="minorHAnsi" w:cstheme="minorBidi"/>
          <w:lang w:val="es-MX"/>
        </w:rPr>
      </w:pPr>
    </w:p>
    <w:p w:rsidR="004A3816" w:rsidRPr="00E5582A" w:rsidRDefault="004A3816" w:rsidP="00496815">
      <w:pPr>
        <w:pStyle w:val="Prrafodelista"/>
        <w:spacing w:after="0" w:line="240" w:lineRule="auto"/>
        <w:ind w:left="405" w:right="49"/>
        <w:jc w:val="both"/>
        <w:rPr>
          <w:rFonts w:asciiTheme="minorHAnsi" w:eastAsiaTheme="minorHAnsi" w:hAnsiTheme="minorHAnsi" w:cstheme="minorBidi"/>
          <w:lang w:val="es-MX"/>
        </w:rPr>
      </w:pPr>
    </w:p>
    <w:p w:rsidR="004A3816" w:rsidRPr="00B73F48" w:rsidRDefault="004A3816" w:rsidP="0049681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3F48">
        <w:rPr>
          <w:rFonts w:ascii="Arial" w:hAnsi="Arial" w:cs="Arial"/>
          <w:b/>
          <w:sz w:val="24"/>
          <w:szCs w:val="24"/>
        </w:rPr>
        <w:lastRenderedPageBreak/>
        <w:tab/>
      </w:r>
    </w:p>
    <w:tbl>
      <w:tblPr>
        <w:tblW w:w="671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056"/>
        <w:gridCol w:w="992"/>
        <w:gridCol w:w="992"/>
      </w:tblGrid>
      <w:tr w:rsidR="00ED3281" w:rsidRPr="0020679A" w:rsidTr="00CB1D3D">
        <w:trPr>
          <w:trHeight w:val="587"/>
          <w:jc w:val="center"/>
        </w:trPr>
        <w:tc>
          <w:tcPr>
            <w:tcW w:w="3676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>Categoría</w:t>
            </w:r>
          </w:p>
        </w:tc>
        <w:tc>
          <w:tcPr>
            <w:tcW w:w="3040" w:type="dxa"/>
            <w:gridSpan w:val="3"/>
            <w:shd w:val="clear" w:color="000000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Ancho z</w:t>
            </w: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ona de 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>p</w:t>
            </w: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rotección </w:t>
            </w:r>
          </w:p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microcuencas a</w:t>
            </w: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bastecedoras de 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>a</w:t>
            </w: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>gua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(m)</w:t>
            </w:r>
          </w:p>
        </w:tc>
      </w:tr>
      <w:tr w:rsidR="00ED3281" w:rsidRPr="0020679A" w:rsidTr="00CB1D3D">
        <w:trPr>
          <w:trHeight w:val="64"/>
          <w:jc w:val="center"/>
        </w:trPr>
        <w:tc>
          <w:tcPr>
            <w:tcW w:w="3676" w:type="dxa"/>
            <w:vMerge/>
            <w:shd w:val="clear" w:color="auto" w:fill="D6E3BC" w:themeFill="accent3" w:themeFillTint="66"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56" w:type="dxa"/>
            <w:shd w:val="clear" w:color="000000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>&lt;30%</w:t>
            </w:r>
          </w:p>
        </w:tc>
        <w:tc>
          <w:tcPr>
            <w:tcW w:w="992" w:type="dxa"/>
            <w:shd w:val="clear" w:color="000000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>30 - 45%</w:t>
            </w:r>
          </w:p>
        </w:tc>
        <w:tc>
          <w:tcPr>
            <w:tcW w:w="992" w:type="dxa"/>
            <w:shd w:val="clear" w:color="000000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20679A">
              <w:rPr>
                <w:rFonts w:eastAsia="Times New Roman"/>
                <w:b/>
                <w:bCs/>
                <w:color w:val="000000"/>
                <w:lang w:eastAsia="es-CL"/>
              </w:rPr>
              <w:t>&gt; 45%</w:t>
            </w:r>
          </w:p>
        </w:tc>
      </w:tr>
      <w:tr w:rsidR="00ED3281" w:rsidRPr="0020679A" w:rsidTr="00CB1D3D">
        <w:trPr>
          <w:trHeight w:val="315"/>
          <w:jc w:val="center"/>
        </w:trPr>
        <w:tc>
          <w:tcPr>
            <w:tcW w:w="3676" w:type="dxa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color w:val="000000"/>
                <w:lang w:eastAsia="es-CL"/>
              </w:rPr>
              <w:t>Humedales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20679A" w:rsidTr="00CB1D3D">
        <w:trPr>
          <w:trHeight w:val="315"/>
          <w:jc w:val="center"/>
        </w:trPr>
        <w:tc>
          <w:tcPr>
            <w:tcW w:w="3676" w:type="dxa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color w:val="000000"/>
                <w:lang w:eastAsia="es-CL"/>
              </w:rPr>
              <w:t>Manantiales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20679A" w:rsidTr="00CB1D3D">
        <w:trPr>
          <w:trHeight w:val="315"/>
          <w:jc w:val="center"/>
        </w:trPr>
        <w:tc>
          <w:tcPr>
            <w:tcW w:w="3676" w:type="dxa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color w:val="000000"/>
                <w:lang w:eastAsia="es-CL"/>
              </w:rPr>
              <w:t>Cuerpos de agua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20679A" w:rsidTr="00CB1D3D">
        <w:trPr>
          <w:trHeight w:val="277"/>
          <w:jc w:val="center"/>
        </w:trPr>
        <w:tc>
          <w:tcPr>
            <w:tcW w:w="3676" w:type="dxa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color w:val="000000"/>
                <w:lang w:eastAsia="es-CL"/>
              </w:rPr>
              <w:t>Ríos y esteros permanente y temporal</w:t>
            </w:r>
          </w:p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&gt; 0,5 m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30</w:t>
            </w:r>
          </w:p>
        </w:tc>
      </w:tr>
      <w:tr w:rsidR="00ED3281" w:rsidRPr="0020679A" w:rsidTr="00CB1D3D">
        <w:trPr>
          <w:trHeight w:val="213"/>
          <w:jc w:val="center"/>
        </w:trPr>
        <w:tc>
          <w:tcPr>
            <w:tcW w:w="3676" w:type="dxa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color w:val="000000"/>
                <w:lang w:eastAsia="es-CL"/>
              </w:rPr>
              <w:t>Estero permanente y temporal</w:t>
            </w:r>
          </w:p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&lt; 0,5 m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</w:tr>
      <w:tr w:rsidR="00ED3281" w:rsidRPr="0020679A" w:rsidTr="00CB1D3D">
        <w:trPr>
          <w:trHeight w:val="278"/>
          <w:jc w:val="center"/>
        </w:trPr>
        <w:tc>
          <w:tcPr>
            <w:tcW w:w="3676" w:type="dxa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color w:val="000000"/>
                <w:lang w:eastAsia="es-CL"/>
              </w:rPr>
              <w:t xml:space="preserve">Quebrada permanente </w:t>
            </w:r>
          </w:p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&lt; 0,5 m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</w:tr>
      <w:tr w:rsidR="00ED3281" w:rsidRPr="0020679A" w:rsidTr="00CB1D3D">
        <w:trPr>
          <w:trHeight w:val="341"/>
          <w:jc w:val="center"/>
        </w:trPr>
        <w:tc>
          <w:tcPr>
            <w:tcW w:w="3676" w:type="dxa"/>
            <w:shd w:val="clear" w:color="auto" w:fill="D6E3BC" w:themeFill="accent3" w:themeFillTint="66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color w:val="000000"/>
                <w:lang w:eastAsia="es-CL"/>
              </w:rPr>
              <w:t xml:space="preserve">Quebrada no permanente </w:t>
            </w:r>
          </w:p>
          <w:p w:rsidR="00ED3281" w:rsidRPr="0020679A" w:rsidRDefault="00ED3281" w:rsidP="00CB1D3D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(sección de cauce &lt; 0,5 m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vertAlign w:val="superscript"/>
                <w:lang w:eastAsia="es-CL"/>
              </w:rPr>
              <w:t>2</w:t>
            </w:r>
            <w:r w:rsidRPr="0020679A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D3281" w:rsidRPr="0020679A" w:rsidRDefault="00ED3281" w:rsidP="00CB1D3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L"/>
              </w:rPr>
            </w:pPr>
            <w:r w:rsidRPr="0020679A">
              <w:rPr>
                <w:rFonts w:eastAsia="Times New Roman"/>
                <w:color w:val="000000" w:themeColor="text1"/>
                <w:lang w:eastAsia="es-CL"/>
              </w:rPr>
              <w:t>20</w:t>
            </w:r>
          </w:p>
        </w:tc>
      </w:tr>
    </w:tbl>
    <w:p w:rsidR="00B325DA" w:rsidRDefault="00B325DA" w:rsidP="00496815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B325DA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ED3281">
        <w:rPr>
          <w:rFonts w:cs="Arial"/>
          <w:lang w:val="es-MX"/>
        </w:rPr>
        <w:t xml:space="preserve">Por otra parte, </w:t>
      </w:r>
      <w:r>
        <w:rPr>
          <w:rFonts w:cs="Arial"/>
          <w:lang w:val="es-MX"/>
        </w:rPr>
        <w:t>en el nuevo capítulo del Protocolo denominado “Estudios necesarios para la actualización del Protocolo”, se propuso lo siguiente:</w:t>
      </w: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ED3281">
        <w:rPr>
          <w:rFonts w:cs="Arial"/>
          <w:u w:val="single"/>
          <w:lang w:val="es-MX"/>
        </w:rPr>
        <w:t>Estudio 1:</w:t>
      </w:r>
      <w:r>
        <w:rPr>
          <w:rFonts w:cs="Arial"/>
          <w:lang w:val="es-MX"/>
        </w:rPr>
        <w:t xml:space="preserve"> </w:t>
      </w:r>
      <w:r w:rsidRPr="00ED3281">
        <w:rPr>
          <w:rFonts w:cs="Arial"/>
          <w:lang w:val="es-MX"/>
        </w:rPr>
        <w:t xml:space="preserve">Determinar los anchos óptimos de las zonas de protección de cursos y cuerpos de agua, manantiales y humedales, considerando conjuntamente la productividad del sitio forestal y la protección del recurso hídrico en diferentes cuencas hidrográficas. </w:t>
      </w: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ED3281">
        <w:rPr>
          <w:rFonts w:cs="Arial"/>
          <w:lang w:val="es-MX"/>
        </w:rPr>
        <w:t>Participa: INFOR, empresas, academia.</w:t>
      </w:r>
    </w:p>
    <w:p w:rsid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ED3281">
        <w:rPr>
          <w:rFonts w:cs="Arial"/>
          <w:lang w:val="es-MX"/>
        </w:rPr>
        <w:t>Obs</w:t>
      </w:r>
      <w:r>
        <w:rPr>
          <w:rFonts w:cs="Arial"/>
          <w:lang w:val="es-MX"/>
        </w:rPr>
        <w:t>ervaciones</w:t>
      </w:r>
      <w:r w:rsidRPr="00ED3281">
        <w:rPr>
          <w:rFonts w:cs="Arial"/>
          <w:lang w:val="es-MX"/>
        </w:rPr>
        <w:t>: INFOR en un plazo de 4 meses presentará una propuesta técnica de estudio y su estimación presupuestaria, la que será evaluada por el CPF.</w:t>
      </w: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ED3281">
        <w:rPr>
          <w:rFonts w:cs="Arial"/>
          <w:u w:val="single"/>
          <w:lang w:val="es-MX"/>
        </w:rPr>
        <w:t>Estudio 2</w:t>
      </w:r>
      <w:r>
        <w:rPr>
          <w:rFonts w:cs="Arial"/>
          <w:lang w:val="es-MX"/>
        </w:rPr>
        <w:t xml:space="preserve">: </w:t>
      </w:r>
      <w:r w:rsidRPr="00ED3281">
        <w:rPr>
          <w:rFonts w:cs="Arial"/>
          <w:lang w:val="es-MX"/>
        </w:rPr>
        <w:t>Abrir una línea de investigación de manejo hidrológico de plantaciones forestales en cuencas hidrográficas.</w:t>
      </w:r>
    </w:p>
    <w:p w:rsid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ED3281">
        <w:rPr>
          <w:rFonts w:cs="Arial"/>
          <w:lang w:val="es-MX"/>
        </w:rPr>
        <w:t>Participa: INFOR, empresas, academia.</w:t>
      </w:r>
    </w:p>
    <w:p w:rsid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Debido al consenso alcanzado y a que no se requerirá de nuevas reuniones de este Comité de Expertos, se da por finalizada la reunión a las 12:30 </w:t>
      </w:r>
      <w:proofErr w:type="spellStart"/>
      <w:r>
        <w:rPr>
          <w:rFonts w:cs="Arial"/>
          <w:lang w:val="es-MX"/>
        </w:rPr>
        <w:t>hrs</w:t>
      </w:r>
      <w:proofErr w:type="spellEnd"/>
      <w:r>
        <w:rPr>
          <w:rFonts w:cs="Arial"/>
          <w:lang w:val="es-MX"/>
        </w:rPr>
        <w:t>.</w:t>
      </w:r>
    </w:p>
    <w:p w:rsid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ED3281" w:rsidRPr="00ED3281" w:rsidRDefault="00ED3281" w:rsidP="00ED3281">
      <w:pPr>
        <w:spacing w:after="0" w:line="240" w:lineRule="auto"/>
        <w:ind w:right="49"/>
        <w:jc w:val="both"/>
        <w:rPr>
          <w:rFonts w:cs="Arial"/>
          <w:lang w:val="es-MX"/>
        </w:rPr>
      </w:pPr>
    </w:p>
    <w:tbl>
      <w:tblPr>
        <w:tblpPr w:leftFromText="141" w:rightFromText="141" w:vertAnchor="text" w:horzAnchor="margin" w:tblpY="128"/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"/>
        <w:gridCol w:w="4536"/>
      </w:tblGrid>
      <w:tr w:rsidR="00ED3281" w:rsidRPr="00B73F48" w:rsidTr="00ED3281">
        <w:trPr>
          <w:trHeight w:val="974"/>
        </w:trPr>
        <w:tc>
          <w:tcPr>
            <w:tcW w:w="3969" w:type="dxa"/>
          </w:tcPr>
          <w:p w:rsidR="00ED3281" w:rsidRPr="00ED3281" w:rsidRDefault="00ED3281" w:rsidP="00ED3281">
            <w:pP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ED3281">
              <w:rPr>
                <w:rFonts w:ascii="Arial" w:hAnsi="Arial" w:cs="Arial"/>
                <w:b/>
                <w:szCs w:val="24"/>
                <w:u w:val="single"/>
              </w:rPr>
              <w:br w:type="page"/>
            </w:r>
          </w:p>
          <w:p w:rsidR="00ED3281" w:rsidRPr="00ED3281" w:rsidRDefault="00ED3281" w:rsidP="00ED3281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ED3281">
              <w:rPr>
                <w:rFonts w:ascii="Arial" w:hAnsi="Arial" w:cs="Arial"/>
                <w:b/>
                <w:szCs w:val="24"/>
                <w:lang w:val="es-MX"/>
              </w:rPr>
              <w:t>AARÓN CAVIERES CANCINO</w:t>
            </w:r>
          </w:p>
          <w:p w:rsidR="00ED3281" w:rsidRPr="00ED3281" w:rsidRDefault="00ED3281" w:rsidP="00ED3281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ED3281">
              <w:rPr>
                <w:rFonts w:ascii="Arial" w:hAnsi="Arial" w:cs="Arial"/>
                <w:szCs w:val="24"/>
                <w:lang w:val="es-MX"/>
              </w:rPr>
              <w:t>Presidente CPF</w:t>
            </w:r>
          </w:p>
          <w:p w:rsidR="00ED3281" w:rsidRPr="00ED3281" w:rsidRDefault="00ED3281" w:rsidP="00ED3281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ED3281">
              <w:rPr>
                <w:rFonts w:ascii="Arial" w:hAnsi="Arial" w:cs="Arial"/>
                <w:szCs w:val="24"/>
                <w:lang w:val="es-MX"/>
              </w:rPr>
              <w:t>Director Ejecutivo CONAF</w:t>
            </w:r>
          </w:p>
        </w:tc>
        <w:tc>
          <w:tcPr>
            <w:tcW w:w="354" w:type="dxa"/>
          </w:tcPr>
          <w:p w:rsidR="00ED3281" w:rsidRPr="00ED3281" w:rsidRDefault="00ED3281" w:rsidP="00ED3281">
            <w:pP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4536" w:type="dxa"/>
          </w:tcPr>
          <w:p w:rsidR="00ED3281" w:rsidRPr="00ED3281" w:rsidRDefault="00ED3281" w:rsidP="00ED3281">
            <w:pP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ED3281" w:rsidRPr="00ED3281" w:rsidRDefault="00ED3281" w:rsidP="00ED3281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ED3281">
              <w:rPr>
                <w:rFonts w:ascii="Arial" w:hAnsi="Arial" w:cs="Arial"/>
                <w:b/>
                <w:szCs w:val="24"/>
                <w:lang w:val="es-MX"/>
              </w:rPr>
              <w:t>FRANCISCO POZO ALVARADO</w:t>
            </w:r>
          </w:p>
          <w:p w:rsidR="00ED3281" w:rsidRPr="00ED3281" w:rsidRDefault="00ED3281" w:rsidP="00ED3281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ED3281">
              <w:rPr>
                <w:rFonts w:ascii="Arial" w:hAnsi="Arial" w:cs="Arial"/>
                <w:szCs w:val="24"/>
                <w:lang w:val="es-MX"/>
              </w:rPr>
              <w:t>Secretario Técnico de la Comisión Temática</w:t>
            </w:r>
          </w:p>
          <w:p w:rsidR="00ED3281" w:rsidRPr="00ED3281" w:rsidRDefault="00ED3281" w:rsidP="00ED3281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ED3281">
              <w:rPr>
                <w:rFonts w:ascii="Arial" w:hAnsi="Arial" w:cs="Arial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ED3281" w:rsidRPr="00AF609B" w:rsidRDefault="00ED3281" w:rsidP="00ED3281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  <w:bookmarkStart w:id="0" w:name="_GoBack"/>
      <w:bookmarkEnd w:id="0"/>
    </w:p>
    <w:sectPr w:rsidR="00ED3281" w:rsidRPr="00AF609B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9E" w:rsidRDefault="00DE3B9E" w:rsidP="006C311D">
      <w:pPr>
        <w:spacing w:after="0" w:line="240" w:lineRule="auto"/>
      </w:pPr>
      <w:r>
        <w:separator/>
      </w:r>
    </w:p>
  </w:endnote>
  <w:endnote w:type="continuationSeparator" w:id="0">
    <w:p w:rsidR="00DE3B9E" w:rsidRDefault="00DE3B9E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9E" w:rsidRDefault="00DE3B9E" w:rsidP="006C311D">
      <w:pPr>
        <w:spacing w:after="0" w:line="240" w:lineRule="auto"/>
      </w:pPr>
      <w:r>
        <w:separator/>
      </w:r>
    </w:p>
  </w:footnote>
  <w:footnote w:type="continuationSeparator" w:id="0">
    <w:p w:rsidR="00DE3B9E" w:rsidRDefault="00DE3B9E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71E"/>
    <w:multiLevelType w:val="hybridMultilevel"/>
    <w:tmpl w:val="8D185CB4"/>
    <w:lvl w:ilvl="0" w:tplc="09E022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655BEF"/>
    <w:multiLevelType w:val="hybridMultilevel"/>
    <w:tmpl w:val="386C0B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>
    <w:nsid w:val="75F75FC9"/>
    <w:multiLevelType w:val="hybridMultilevel"/>
    <w:tmpl w:val="7DB03180"/>
    <w:lvl w:ilvl="0" w:tplc="F1E0D0B6">
      <w:start w:val="1"/>
      <w:numFmt w:val="decimal"/>
      <w:lvlText w:val="%1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7AA2"/>
    <w:rsid w:val="0003530F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940"/>
    <w:rsid w:val="00103720"/>
    <w:rsid w:val="00110388"/>
    <w:rsid w:val="00111474"/>
    <w:rsid w:val="0011240C"/>
    <w:rsid w:val="0012019B"/>
    <w:rsid w:val="001302F7"/>
    <w:rsid w:val="0013312C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A06A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F5C"/>
    <w:rsid w:val="002D49BD"/>
    <w:rsid w:val="002D6DF4"/>
    <w:rsid w:val="002E2155"/>
    <w:rsid w:val="002E3A02"/>
    <w:rsid w:val="002F3A45"/>
    <w:rsid w:val="002F441A"/>
    <w:rsid w:val="003117AC"/>
    <w:rsid w:val="003146B6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3214"/>
    <w:rsid w:val="003C44EB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3FF4"/>
    <w:rsid w:val="004053F3"/>
    <w:rsid w:val="00405EB4"/>
    <w:rsid w:val="00412153"/>
    <w:rsid w:val="00414135"/>
    <w:rsid w:val="00415242"/>
    <w:rsid w:val="00420F09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6CDF"/>
    <w:rsid w:val="00487C84"/>
    <w:rsid w:val="00487F42"/>
    <w:rsid w:val="004943BE"/>
    <w:rsid w:val="004946DE"/>
    <w:rsid w:val="00494F92"/>
    <w:rsid w:val="00496815"/>
    <w:rsid w:val="004A0603"/>
    <w:rsid w:val="004A2EC8"/>
    <w:rsid w:val="004A3816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5C0C"/>
    <w:rsid w:val="00506D95"/>
    <w:rsid w:val="00512D74"/>
    <w:rsid w:val="00513209"/>
    <w:rsid w:val="00513745"/>
    <w:rsid w:val="005162B3"/>
    <w:rsid w:val="005226B4"/>
    <w:rsid w:val="00523ED7"/>
    <w:rsid w:val="00525166"/>
    <w:rsid w:val="005254F4"/>
    <w:rsid w:val="0052787E"/>
    <w:rsid w:val="00531135"/>
    <w:rsid w:val="00531F50"/>
    <w:rsid w:val="00537633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209C5"/>
    <w:rsid w:val="00624B87"/>
    <w:rsid w:val="00626DB7"/>
    <w:rsid w:val="00626F83"/>
    <w:rsid w:val="00633E54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0D14"/>
    <w:rsid w:val="006F5A67"/>
    <w:rsid w:val="00700D23"/>
    <w:rsid w:val="007069ED"/>
    <w:rsid w:val="00706DA0"/>
    <w:rsid w:val="00706DA7"/>
    <w:rsid w:val="00707006"/>
    <w:rsid w:val="007100FD"/>
    <w:rsid w:val="00720FA8"/>
    <w:rsid w:val="00721FFE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97F7E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77C5"/>
    <w:rsid w:val="008059BF"/>
    <w:rsid w:val="00806D09"/>
    <w:rsid w:val="00807CF3"/>
    <w:rsid w:val="00810660"/>
    <w:rsid w:val="008129B0"/>
    <w:rsid w:val="00816A4C"/>
    <w:rsid w:val="00816BE1"/>
    <w:rsid w:val="00820E7F"/>
    <w:rsid w:val="00825AE8"/>
    <w:rsid w:val="008303FF"/>
    <w:rsid w:val="008330B4"/>
    <w:rsid w:val="0084204D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568DA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17484"/>
    <w:rsid w:val="00A245E7"/>
    <w:rsid w:val="00A263B6"/>
    <w:rsid w:val="00A26733"/>
    <w:rsid w:val="00A30D52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049B0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0F49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06FDF"/>
    <w:rsid w:val="00C14F9E"/>
    <w:rsid w:val="00C16A9B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0EF0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F02"/>
    <w:rsid w:val="00CF15C0"/>
    <w:rsid w:val="00CF353B"/>
    <w:rsid w:val="00CF66BA"/>
    <w:rsid w:val="00CF7840"/>
    <w:rsid w:val="00D01F91"/>
    <w:rsid w:val="00D04822"/>
    <w:rsid w:val="00D04BB5"/>
    <w:rsid w:val="00D149AE"/>
    <w:rsid w:val="00D16521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B5B26"/>
    <w:rsid w:val="00DC0508"/>
    <w:rsid w:val="00DC1791"/>
    <w:rsid w:val="00DC3030"/>
    <w:rsid w:val="00DC4EF6"/>
    <w:rsid w:val="00DD406F"/>
    <w:rsid w:val="00DD45F8"/>
    <w:rsid w:val="00DD4B18"/>
    <w:rsid w:val="00DD608B"/>
    <w:rsid w:val="00DD6366"/>
    <w:rsid w:val="00DD6CB6"/>
    <w:rsid w:val="00DE3A69"/>
    <w:rsid w:val="00DE3B9E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1C4B"/>
    <w:rsid w:val="00E54291"/>
    <w:rsid w:val="00E5582A"/>
    <w:rsid w:val="00E55A0F"/>
    <w:rsid w:val="00E56E3D"/>
    <w:rsid w:val="00E61A59"/>
    <w:rsid w:val="00E7325D"/>
    <w:rsid w:val="00E744FE"/>
    <w:rsid w:val="00E82A5F"/>
    <w:rsid w:val="00E82F99"/>
    <w:rsid w:val="00E8400F"/>
    <w:rsid w:val="00E84B39"/>
    <w:rsid w:val="00E903C1"/>
    <w:rsid w:val="00E92385"/>
    <w:rsid w:val="00E96305"/>
    <w:rsid w:val="00EA0002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3281"/>
    <w:rsid w:val="00ED4FED"/>
    <w:rsid w:val="00ED63A9"/>
    <w:rsid w:val="00EE4801"/>
    <w:rsid w:val="00EE49E5"/>
    <w:rsid w:val="00EF0117"/>
    <w:rsid w:val="00EF2B0F"/>
    <w:rsid w:val="00EF54D7"/>
    <w:rsid w:val="00F0345C"/>
    <w:rsid w:val="00F03B62"/>
    <w:rsid w:val="00F1018B"/>
    <w:rsid w:val="00F1587F"/>
    <w:rsid w:val="00F204BA"/>
    <w:rsid w:val="00F24472"/>
    <w:rsid w:val="00F266A9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6193-111D-40E2-A582-7C798B7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Política Forestal</dc:creator>
  <cp:lastModifiedBy>Paula Vásquez Baeza</cp:lastModifiedBy>
  <cp:revision>2</cp:revision>
  <cp:lastPrinted>2017-03-09T18:40:00Z</cp:lastPrinted>
  <dcterms:created xsi:type="dcterms:W3CDTF">2017-07-26T21:54:00Z</dcterms:created>
  <dcterms:modified xsi:type="dcterms:W3CDTF">2017-07-26T21:54:00Z</dcterms:modified>
</cp:coreProperties>
</file>