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C" w:rsidRDefault="00E10E2C" w:rsidP="00C8398C">
      <w:pPr>
        <w:spacing w:after="0" w:line="240" w:lineRule="auto"/>
        <w:ind w:left="-567" w:right="-568"/>
        <w:jc w:val="center"/>
        <w:rPr>
          <w:b/>
          <w:sz w:val="28"/>
          <w:szCs w:val="28"/>
          <w:u w:val="single"/>
          <w:lang w:val="es-MX"/>
        </w:rPr>
      </w:pPr>
    </w:p>
    <w:p w:rsidR="00AB2057" w:rsidRPr="00E23DFB" w:rsidRDefault="00AB2057" w:rsidP="00AB2057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E23DFB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ACTA </w:t>
      </w:r>
      <w:r>
        <w:rPr>
          <w:rFonts w:asciiTheme="minorHAnsi" w:hAnsiTheme="minorHAnsi"/>
          <w:b/>
          <w:sz w:val="28"/>
          <w:szCs w:val="28"/>
          <w:u w:val="single"/>
          <w:lang w:val="es-MX"/>
        </w:rPr>
        <w:t>7</w:t>
      </w:r>
      <w:r w:rsidRPr="00E23DFB">
        <w:rPr>
          <w:rFonts w:asciiTheme="minorHAnsi" w:hAnsiTheme="minorHAnsi"/>
          <w:b/>
          <w:sz w:val="28"/>
          <w:szCs w:val="28"/>
          <w:u w:val="single"/>
          <w:vertAlign w:val="superscript"/>
          <w:lang w:val="es-MX"/>
        </w:rPr>
        <w:t xml:space="preserve">a </w:t>
      </w:r>
      <w:r w:rsidRPr="00E23DFB">
        <w:rPr>
          <w:rFonts w:asciiTheme="minorHAnsi" w:hAnsiTheme="minorHAnsi"/>
          <w:b/>
          <w:sz w:val="28"/>
          <w:szCs w:val="28"/>
          <w:u w:val="single"/>
          <w:lang w:val="es-MX"/>
        </w:rPr>
        <w:t>REUNIÓN COMITÉ DE EXPERTOS “PROTECCIÓN DE SUELOS Y AGUA”</w:t>
      </w:r>
    </w:p>
    <w:tbl>
      <w:tblPr>
        <w:tblStyle w:val="Tablaconcuadrcula"/>
        <w:tblpPr w:leftFromText="141" w:rightFromText="141" w:vertAnchor="page" w:horzAnchor="margin" w:tblpY="280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BA08BC" w:rsidTr="00793DBA">
        <w:trPr>
          <w:trHeight w:val="283"/>
        </w:trPr>
        <w:tc>
          <w:tcPr>
            <w:tcW w:w="1514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F5168D" w:rsidP="00AB2057">
            <w:pPr>
              <w:spacing w:after="0" w:line="240" w:lineRule="auto"/>
              <w:ind w:right="-568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="00AB2057">
              <w:rPr>
                <w:lang w:val="es-MX"/>
              </w:rPr>
              <w:t xml:space="preserve">éptima </w:t>
            </w:r>
            <w:r w:rsidR="00AB2057" w:rsidRPr="00E23DFB">
              <w:rPr>
                <w:rFonts w:asciiTheme="minorHAnsi" w:hAnsiTheme="minorHAnsi"/>
                <w:lang w:val="es-MX"/>
              </w:rPr>
              <w:t>Reunión Comité de Expertos Protección de Suelos y Agua.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3C150C" w:rsidP="00C8398C">
            <w:pPr>
              <w:spacing w:after="0" w:line="240" w:lineRule="auto"/>
              <w:jc w:val="both"/>
              <w:rPr>
                <w:u w:val="single"/>
                <w:lang w:val="es-MX"/>
              </w:rPr>
            </w:pPr>
            <w:r>
              <w:rPr>
                <w:lang w:val="es-MX"/>
              </w:rPr>
              <w:t>Miércoles</w:t>
            </w:r>
            <w:r w:rsidR="00056EA1">
              <w:rPr>
                <w:lang w:val="es-MX"/>
              </w:rPr>
              <w:t xml:space="preserve"> </w:t>
            </w:r>
            <w:r w:rsidR="006F3711">
              <w:rPr>
                <w:lang w:val="es-MX"/>
              </w:rPr>
              <w:t>2</w:t>
            </w:r>
            <w:r w:rsidR="00056EA1">
              <w:rPr>
                <w:lang w:val="es-MX"/>
              </w:rPr>
              <w:t>1 de Junio</w:t>
            </w:r>
            <w:r w:rsidR="00884FC1" w:rsidRPr="00884FC1">
              <w:rPr>
                <w:lang w:val="es-MX"/>
              </w:rPr>
              <w:t xml:space="preserve"> de 2017.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inicio</w:t>
            </w:r>
            <w:r w:rsidR="00C8398C">
              <w:rPr>
                <w:b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6F3711" w:rsidP="00C8398C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10</w:t>
            </w:r>
            <w:r w:rsidR="00884FC1" w:rsidRPr="00884FC1">
              <w:rPr>
                <w:lang w:val="es-MX"/>
              </w:rPr>
              <w:t>:</w:t>
            </w:r>
            <w:r w:rsidR="000254F2">
              <w:rPr>
                <w:lang w:val="es-MX"/>
              </w:rPr>
              <w:t>3</w:t>
            </w:r>
            <w:r w:rsidR="00EB213A">
              <w:rPr>
                <w:lang w:val="es-MX"/>
              </w:rPr>
              <w:t>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D42351" w:rsidTr="00793DBA">
        <w:trPr>
          <w:trHeight w:val="280"/>
        </w:trPr>
        <w:tc>
          <w:tcPr>
            <w:tcW w:w="1514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884FC1" w:rsidRDefault="006F3711" w:rsidP="00C8398C">
            <w:pPr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14</w:t>
            </w:r>
            <w:r w:rsidR="00884FC1" w:rsidRPr="00884FC1">
              <w:rPr>
                <w:lang w:val="es-MX"/>
              </w:rPr>
              <w:t>:</w:t>
            </w:r>
            <w:r w:rsidR="006818F5">
              <w:rPr>
                <w:lang w:val="es-MX"/>
              </w:rPr>
              <w:t>0</w:t>
            </w:r>
            <w:r w:rsidR="008E2E96">
              <w:rPr>
                <w:lang w:val="es-MX"/>
              </w:rPr>
              <w:t>0</w:t>
            </w:r>
            <w:r w:rsidR="00884FC1" w:rsidRPr="00884FC1">
              <w:rPr>
                <w:lang w:val="es-MX"/>
              </w:rPr>
              <w:t xml:space="preserve"> horas.</w:t>
            </w:r>
          </w:p>
        </w:tc>
      </w:tr>
      <w:tr w:rsidR="008E42DD" w:rsidRPr="00AB2057" w:rsidTr="00793DBA">
        <w:trPr>
          <w:trHeight w:val="270"/>
        </w:trPr>
        <w:tc>
          <w:tcPr>
            <w:tcW w:w="1514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D42351" w:rsidRDefault="008E42DD" w:rsidP="00C8398C">
            <w:pPr>
              <w:spacing w:after="0" w:line="240" w:lineRule="auto"/>
              <w:jc w:val="both"/>
              <w:rPr>
                <w:b/>
                <w:lang w:val="es-MX"/>
              </w:rPr>
            </w:pPr>
            <w:r w:rsidRPr="00D42351">
              <w:rPr>
                <w:b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2787E" w:rsidRDefault="008E2E96" w:rsidP="00AB2057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52787E">
              <w:rPr>
                <w:lang w:val="en-US"/>
              </w:rPr>
              <w:t>Avda</w:t>
            </w:r>
            <w:proofErr w:type="spellEnd"/>
            <w:r w:rsidR="00706DA7" w:rsidRPr="0052787E">
              <w:rPr>
                <w:lang w:val="en-US"/>
              </w:rPr>
              <w:t>.</w:t>
            </w:r>
            <w:r w:rsidR="009654C3">
              <w:rPr>
                <w:lang w:val="en-US"/>
              </w:rPr>
              <w:t xml:space="preserve"> </w:t>
            </w:r>
            <w:proofErr w:type="spellStart"/>
            <w:r w:rsidR="009654C3">
              <w:rPr>
                <w:lang w:val="en-US"/>
              </w:rPr>
              <w:t>Bulnes</w:t>
            </w:r>
            <w:proofErr w:type="spellEnd"/>
            <w:r w:rsidR="009654C3">
              <w:rPr>
                <w:lang w:val="en-US"/>
              </w:rPr>
              <w:t xml:space="preserve"> N° 377</w:t>
            </w:r>
            <w:r w:rsidR="003B42A3">
              <w:rPr>
                <w:lang w:val="en-US"/>
              </w:rPr>
              <w:t>,</w:t>
            </w:r>
            <w:r w:rsidR="00AB2057">
              <w:rPr>
                <w:lang w:val="en-US"/>
              </w:rPr>
              <w:t xml:space="preserve"> </w:t>
            </w:r>
            <w:r w:rsidR="009654C3">
              <w:rPr>
                <w:lang w:val="en-US"/>
              </w:rPr>
              <w:t>Of 207,</w:t>
            </w:r>
            <w:r w:rsidRPr="0052787E">
              <w:rPr>
                <w:lang w:val="en-US"/>
              </w:rPr>
              <w:t xml:space="preserve"> Santiago</w:t>
            </w:r>
            <w:r w:rsidR="00706DA7" w:rsidRPr="0052787E">
              <w:rPr>
                <w:lang w:val="en-US"/>
              </w:rPr>
              <w:t xml:space="preserve"> </w:t>
            </w:r>
          </w:p>
        </w:tc>
      </w:tr>
    </w:tbl>
    <w:p w:rsidR="00EB495A" w:rsidRPr="0052787E" w:rsidRDefault="00EB495A" w:rsidP="00C8398C">
      <w:pPr>
        <w:spacing w:after="0" w:line="240" w:lineRule="auto"/>
        <w:ind w:right="-568"/>
        <w:rPr>
          <w:b/>
          <w:sz w:val="20"/>
          <w:szCs w:val="20"/>
          <w:lang w:val="en-US"/>
        </w:rPr>
      </w:pPr>
    </w:p>
    <w:p w:rsidR="0026190A" w:rsidRPr="0052787E" w:rsidRDefault="0026190A" w:rsidP="00C8398C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C8398C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C8398C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C8398C">
      <w:pPr>
        <w:spacing w:after="0" w:line="240" w:lineRule="auto"/>
        <w:ind w:right="-568"/>
        <w:rPr>
          <w:b/>
          <w:u w:val="single"/>
          <w:lang w:val="en-US"/>
        </w:rPr>
      </w:pPr>
    </w:p>
    <w:p w:rsidR="00C8398C" w:rsidRPr="000254F2" w:rsidRDefault="00C8398C" w:rsidP="00C8398C">
      <w:pPr>
        <w:spacing w:after="0" w:line="240" w:lineRule="auto"/>
        <w:ind w:right="-568"/>
        <w:rPr>
          <w:b/>
          <w:u w:val="single"/>
          <w:lang w:val="en-US"/>
        </w:rPr>
      </w:pPr>
    </w:p>
    <w:p w:rsidR="0049618F" w:rsidRPr="00864B18" w:rsidRDefault="00864B18" w:rsidP="00864B18">
      <w:pPr>
        <w:spacing w:after="0" w:line="240" w:lineRule="auto"/>
        <w:ind w:right="-568"/>
        <w:rPr>
          <w:b/>
          <w:u w:val="single"/>
          <w:lang w:val="es-MX"/>
        </w:rPr>
      </w:pPr>
      <w:r>
        <w:rPr>
          <w:b/>
          <w:u w:val="single"/>
          <w:lang w:val="es-MX"/>
        </w:rPr>
        <w:t>ASISTENTE</w:t>
      </w:r>
      <w:r w:rsidR="00AB2057">
        <w:rPr>
          <w:b/>
          <w:u w:val="single"/>
          <w:lang w:val="es-MX"/>
        </w:rPr>
        <w:t>S</w:t>
      </w:r>
    </w:p>
    <w:p w:rsidR="0049618F" w:rsidRDefault="0049618F" w:rsidP="0049618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</w:p>
    <w:p w:rsidR="00AB2057" w:rsidRPr="00AB2057" w:rsidRDefault="00AB2057" w:rsidP="00AB205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lang w:val="es-ES" w:eastAsia="es-ES"/>
        </w:rPr>
      </w:pPr>
      <w:r w:rsidRPr="00AB2057">
        <w:rPr>
          <w:rFonts w:asciiTheme="minorHAnsi" w:eastAsia="Times New Roman" w:hAnsiTheme="minorHAnsi" w:cs="Arial"/>
          <w:color w:val="000000"/>
          <w:lang w:val="es-ES" w:eastAsia="es-ES"/>
        </w:rPr>
        <w:t>Sr. Samuel Francke, Profesional Depto. Plantaciones CONAF.</w:t>
      </w:r>
    </w:p>
    <w:p w:rsidR="00AB2057" w:rsidRPr="00AB2057" w:rsidRDefault="00AB2057" w:rsidP="00AB2057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AB2057" w:rsidRPr="00AB2057" w:rsidRDefault="00AB2057" w:rsidP="00AB2057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shd w:val="clear" w:color="auto" w:fill="FFFFFF"/>
        </w:rPr>
      </w:pPr>
      <w:r w:rsidRPr="00AB2057">
        <w:rPr>
          <w:rFonts w:asciiTheme="minorHAnsi" w:hAnsiTheme="minorHAnsi"/>
        </w:rPr>
        <w:t xml:space="preserve">Sr. Cesar Farías, </w:t>
      </w:r>
      <w:r w:rsidRPr="00AB2057">
        <w:rPr>
          <w:rFonts w:asciiTheme="minorHAnsi" w:hAnsiTheme="minorHAnsi" w:cs="Arial"/>
          <w:shd w:val="clear" w:color="auto" w:fill="FFFFFF"/>
        </w:rPr>
        <w:t>Jefe de Área Régimen Forestal y Monitoreo, Forestal MININCO.</w:t>
      </w:r>
    </w:p>
    <w:p w:rsidR="00AB2057" w:rsidRPr="00AB2057" w:rsidRDefault="00AB2057" w:rsidP="00AB2057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shd w:val="clear" w:color="auto" w:fill="FFFFFF"/>
        </w:rPr>
      </w:pPr>
    </w:p>
    <w:p w:rsidR="00AB2057" w:rsidRPr="00AB2057" w:rsidRDefault="00AB2057" w:rsidP="00AB2057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  <w:r w:rsidRPr="00AB2057">
        <w:rPr>
          <w:rFonts w:asciiTheme="minorHAnsi" w:hAnsiTheme="minorHAnsi" w:cs="Arial"/>
          <w:shd w:val="clear" w:color="auto" w:fill="FFFFFF"/>
        </w:rPr>
        <w:t>Sr. Julio Becker, Representante CORMA.</w:t>
      </w:r>
    </w:p>
    <w:p w:rsidR="00AB2057" w:rsidRPr="00AB2057" w:rsidRDefault="00AB2057" w:rsidP="00AB2057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AB2057" w:rsidRPr="00AB2057" w:rsidRDefault="00AB2057" w:rsidP="00AB2057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  <w:r w:rsidRPr="00AB2057">
        <w:rPr>
          <w:rFonts w:asciiTheme="minorHAnsi" w:hAnsiTheme="minorHAnsi"/>
        </w:rPr>
        <w:t>Sra. Paula Vásquez; Profesional Depto. Normas y Procedimientos, CONAF</w:t>
      </w:r>
    </w:p>
    <w:p w:rsidR="00AB2057" w:rsidRPr="00AB2057" w:rsidRDefault="00AB2057" w:rsidP="00AB2057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AB2057" w:rsidRPr="00E23DFB" w:rsidRDefault="00AB2057" w:rsidP="00AB2057">
      <w:pPr>
        <w:pStyle w:val="Prrafodelista"/>
        <w:spacing w:after="0" w:line="240" w:lineRule="auto"/>
        <w:ind w:left="0"/>
        <w:jc w:val="both"/>
        <w:rPr>
          <w:rFonts w:asciiTheme="minorHAnsi" w:hAnsiTheme="minorHAnsi"/>
        </w:rPr>
      </w:pPr>
      <w:r w:rsidRPr="00AB2057">
        <w:rPr>
          <w:rFonts w:asciiTheme="minorHAnsi" w:hAnsiTheme="minorHAnsi"/>
        </w:rPr>
        <w:t>Sr. Francisco Pozo, Profesional Secretaria Política Forestal, CONAF.</w:t>
      </w:r>
    </w:p>
    <w:p w:rsidR="0026190A" w:rsidRDefault="0026190A" w:rsidP="00C8398C">
      <w:pPr>
        <w:pStyle w:val="Prrafodelista"/>
        <w:spacing w:after="0" w:line="240" w:lineRule="auto"/>
        <w:ind w:left="0"/>
        <w:contextualSpacing w:val="0"/>
        <w:jc w:val="both"/>
        <w:rPr>
          <w:highlight w:val="yellow"/>
        </w:rPr>
      </w:pPr>
    </w:p>
    <w:p w:rsidR="007A08E6" w:rsidRDefault="007A08E6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BA2B39" w:rsidRDefault="00BA2B39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BA2B39" w:rsidRDefault="00BA2B39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55424D" w:rsidRDefault="0055424D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55424D" w:rsidRDefault="0055424D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8303FF" w:rsidRDefault="008303FF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54066" w:rsidRDefault="00154066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54066" w:rsidRDefault="00154066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54066" w:rsidRDefault="00154066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54066" w:rsidRDefault="00154066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154066" w:rsidRDefault="00154066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6818F5" w:rsidRDefault="006818F5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6818F5" w:rsidRDefault="006818F5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864B18" w:rsidRDefault="00864B18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6818F5" w:rsidRDefault="006818F5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</w:p>
    <w:p w:rsidR="00AB2057" w:rsidRDefault="00AB2057">
      <w:pPr>
        <w:spacing w:after="0" w:line="240" w:lineRule="auto"/>
        <w:rPr>
          <w:rFonts w:cs="Arial"/>
          <w:b/>
          <w:sz w:val="28"/>
          <w:u w:val="single"/>
          <w:lang w:val="es-MX"/>
        </w:rPr>
      </w:pPr>
      <w:r>
        <w:rPr>
          <w:rFonts w:cs="Arial"/>
          <w:b/>
          <w:sz w:val="28"/>
          <w:u w:val="single"/>
          <w:lang w:val="es-MX"/>
        </w:rPr>
        <w:br w:type="page"/>
      </w:r>
    </w:p>
    <w:p w:rsidR="006C311D" w:rsidRDefault="00A15CE8" w:rsidP="00C8398C">
      <w:pPr>
        <w:spacing w:after="0" w:line="240" w:lineRule="auto"/>
        <w:jc w:val="center"/>
        <w:rPr>
          <w:rFonts w:cs="Arial"/>
          <w:b/>
          <w:sz w:val="28"/>
          <w:u w:val="single"/>
          <w:lang w:val="es-MX"/>
        </w:rPr>
      </w:pPr>
      <w:r>
        <w:rPr>
          <w:rFonts w:cs="Arial"/>
          <w:b/>
          <w:sz w:val="28"/>
          <w:u w:val="single"/>
          <w:lang w:val="es-MX"/>
        </w:rPr>
        <w:lastRenderedPageBreak/>
        <w:t>RESUMEN DE LA REUNI</w:t>
      </w:r>
      <w:r w:rsidR="006C311D" w:rsidRPr="004D28E8">
        <w:rPr>
          <w:rFonts w:cs="Arial"/>
          <w:b/>
          <w:sz w:val="28"/>
          <w:u w:val="single"/>
          <w:lang w:val="es-MX"/>
        </w:rPr>
        <w:t>ÓN</w:t>
      </w:r>
    </w:p>
    <w:p w:rsidR="00C8398C" w:rsidRDefault="00C8398C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AB2057" w:rsidRDefault="00AB2057" w:rsidP="00056EA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AB2057" w:rsidRDefault="00056EA1" w:rsidP="00056EA1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La reunión comienza con las palab</w:t>
      </w:r>
      <w:r w:rsidR="006F3711">
        <w:rPr>
          <w:rFonts w:cs="Arial"/>
          <w:lang w:val="es-MX"/>
        </w:rPr>
        <w:t>ras de bienvenida del Secretario Técnico del Comité</w:t>
      </w:r>
      <w:r w:rsidR="00AB2057">
        <w:rPr>
          <w:rFonts w:cs="Arial"/>
          <w:lang w:val="es-MX"/>
        </w:rPr>
        <w:t xml:space="preserve"> </w:t>
      </w:r>
      <w:r w:rsidR="006F3711">
        <w:rPr>
          <w:rFonts w:cs="Arial"/>
          <w:lang w:val="es-MX"/>
        </w:rPr>
        <w:t>Sr. Francisco Pozo, quien agradece la participación y, da las excusas del Sr Aarón Cavieres por no poder asistir dado que se encuentra fuera de la cuidad</w:t>
      </w:r>
      <w:r w:rsidR="00AB2057">
        <w:rPr>
          <w:rFonts w:cs="Arial"/>
          <w:lang w:val="es-MX"/>
        </w:rPr>
        <w:t xml:space="preserve"> y da </w:t>
      </w:r>
      <w:r>
        <w:rPr>
          <w:rFonts w:cs="Arial"/>
          <w:lang w:val="es-MX"/>
        </w:rPr>
        <w:t xml:space="preserve">lectura al acta de la sesión anterior de esta Comisión, la cual no </w:t>
      </w:r>
      <w:r w:rsidR="00AB2057">
        <w:rPr>
          <w:rFonts w:cs="Arial"/>
          <w:lang w:val="es-MX"/>
        </w:rPr>
        <w:t xml:space="preserve">es </w:t>
      </w:r>
      <w:r>
        <w:rPr>
          <w:rFonts w:cs="Arial"/>
          <w:lang w:val="es-MX"/>
        </w:rPr>
        <w:t>observa</w:t>
      </w:r>
      <w:r w:rsidR="00AB2057">
        <w:rPr>
          <w:rFonts w:cs="Arial"/>
          <w:lang w:val="es-MX"/>
        </w:rPr>
        <w:t>da</w:t>
      </w:r>
      <w:r>
        <w:rPr>
          <w:rFonts w:cs="Arial"/>
          <w:lang w:val="es-MX"/>
        </w:rPr>
        <w:t>.</w:t>
      </w:r>
    </w:p>
    <w:p w:rsidR="00056EA1" w:rsidRDefault="00056EA1" w:rsidP="00056EA1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 </w:t>
      </w:r>
    </w:p>
    <w:p w:rsidR="00A17C88" w:rsidRDefault="00A17C88" w:rsidP="00056EA1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La Secretaría Técnica informa que el pasado </w:t>
      </w:r>
      <w:r w:rsidR="003019D2">
        <w:rPr>
          <w:rFonts w:cs="Arial"/>
          <w:lang w:val="es-MX"/>
        </w:rPr>
        <w:t xml:space="preserve">19 de junio fue enviado a los participantes de la reunión anterior, la propuesta de </w:t>
      </w:r>
      <w:r w:rsidR="0015573C">
        <w:rPr>
          <w:rFonts w:cs="Arial"/>
          <w:lang w:val="es-MX"/>
        </w:rPr>
        <w:t>Índice</w:t>
      </w:r>
      <w:r w:rsidR="003019D2">
        <w:rPr>
          <w:rFonts w:cs="Arial"/>
          <w:lang w:val="es-MX"/>
        </w:rPr>
        <w:t xml:space="preserve"> de Fragilidad para su revisión y para solicitar una propuesta de los ponderadores de cada una de las variables.</w:t>
      </w:r>
    </w:p>
    <w:p w:rsidR="00A17C88" w:rsidRDefault="00A17C88" w:rsidP="00056EA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15573C" w:rsidRDefault="00056EA1" w:rsidP="00056EA1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En forma posterior se analiz</w:t>
      </w:r>
      <w:r w:rsidR="003019D2">
        <w:rPr>
          <w:rFonts w:cs="Arial"/>
          <w:lang w:val="es-MX"/>
        </w:rPr>
        <w:t>ó</w:t>
      </w:r>
      <w:r w:rsidR="00AB2057">
        <w:rPr>
          <w:rFonts w:cs="Arial"/>
          <w:lang w:val="es-MX"/>
        </w:rPr>
        <w:t xml:space="preserve"> </w:t>
      </w:r>
      <w:r w:rsidR="00A17C88">
        <w:rPr>
          <w:rFonts w:cs="Arial"/>
          <w:lang w:val="es-MX"/>
        </w:rPr>
        <w:t>la totalidad del avance del P</w:t>
      </w:r>
      <w:r w:rsidR="006F3711">
        <w:rPr>
          <w:rFonts w:cs="Arial"/>
          <w:lang w:val="es-MX"/>
        </w:rPr>
        <w:t>rotocolo en la temática de suelo</w:t>
      </w:r>
      <w:r w:rsidR="00AB2057">
        <w:rPr>
          <w:rFonts w:cs="Arial"/>
          <w:lang w:val="es-MX"/>
        </w:rPr>
        <w:t>s</w:t>
      </w:r>
      <w:r w:rsidR="006F3711">
        <w:rPr>
          <w:rFonts w:cs="Arial"/>
          <w:lang w:val="es-MX"/>
        </w:rPr>
        <w:t xml:space="preserve"> y agua</w:t>
      </w:r>
      <w:r w:rsidR="00AB2057">
        <w:rPr>
          <w:rFonts w:cs="Arial"/>
          <w:lang w:val="es-MX"/>
        </w:rPr>
        <w:t>s</w:t>
      </w:r>
      <w:r w:rsidR="006F3711">
        <w:rPr>
          <w:rFonts w:cs="Arial"/>
          <w:lang w:val="es-MX"/>
        </w:rPr>
        <w:t xml:space="preserve"> y se observa que </w:t>
      </w:r>
      <w:r w:rsidR="003019D2">
        <w:rPr>
          <w:rFonts w:cs="Arial"/>
          <w:lang w:val="es-MX"/>
        </w:rPr>
        <w:t>el análisis de los anchos de las zonas de protección</w:t>
      </w:r>
      <w:r w:rsidR="0015573C">
        <w:rPr>
          <w:rFonts w:cs="Arial"/>
          <w:lang w:val="es-MX"/>
        </w:rPr>
        <w:t xml:space="preserve">, de un mínimo de 10 metros, </w:t>
      </w:r>
      <w:r w:rsidR="003019D2">
        <w:rPr>
          <w:rFonts w:cs="Arial"/>
          <w:lang w:val="es-MX"/>
        </w:rPr>
        <w:t xml:space="preserve">sólo se acota a </w:t>
      </w:r>
      <w:r w:rsidR="006F3711">
        <w:rPr>
          <w:rFonts w:cs="Arial"/>
          <w:lang w:val="es-MX"/>
        </w:rPr>
        <w:t xml:space="preserve">las </w:t>
      </w:r>
      <w:r w:rsidR="00F72D8D">
        <w:rPr>
          <w:rFonts w:cs="Arial"/>
          <w:lang w:val="es-MX"/>
        </w:rPr>
        <w:t>micro</w:t>
      </w:r>
      <w:r w:rsidR="006F3711">
        <w:rPr>
          <w:rFonts w:cs="Arial"/>
          <w:lang w:val="es-MX"/>
        </w:rPr>
        <w:t xml:space="preserve">cuencas </w:t>
      </w:r>
      <w:r w:rsidR="003019D2">
        <w:rPr>
          <w:rFonts w:cs="Arial"/>
          <w:lang w:val="es-MX"/>
        </w:rPr>
        <w:t xml:space="preserve">abastecedoras </w:t>
      </w:r>
      <w:r w:rsidR="006F3711">
        <w:rPr>
          <w:rFonts w:cs="Arial"/>
          <w:lang w:val="es-MX"/>
        </w:rPr>
        <w:t xml:space="preserve">de agua. </w:t>
      </w:r>
    </w:p>
    <w:p w:rsidR="0015573C" w:rsidRDefault="0015573C" w:rsidP="00056EA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15573C" w:rsidRDefault="006F3711" w:rsidP="00056EA1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>En este contexto</w:t>
      </w:r>
      <w:r w:rsidR="0015573C">
        <w:rPr>
          <w:rFonts w:cs="Arial"/>
          <w:lang w:val="es-MX"/>
        </w:rPr>
        <w:t xml:space="preserve">, </w:t>
      </w:r>
      <w:r>
        <w:rPr>
          <w:rFonts w:cs="Arial"/>
          <w:lang w:val="es-MX"/>
        </w:rPr>
        <w:t xml:space="preserve">se analiza el </w:t>
      </w:r>
      <w:r w:rsidR="0015573C">
        <w:rPr>
          <w:rFonts w:cs="Arial"/>
          <w:lang w:val="es-MX"/>
        </w:rPr>
        <w:t>“P</w:t>
      </w:r>
      <w:r>
        <w:rPr>
          <w:rFonts w:cs="Arial"/>
          <w:lang w:val="es-MX"/>
        </w:rPr>
        <w:t xml:space="preserve">rotocolo </w:t>
      </w:r>
      <w:r w:rsidR="0015573C">
        <w:rPr>
          <w:rFonts w:cs="Arial"/>
          <w:lang w:val="es-MX"/>
        </w:rPr>
        <w:t>de Acuerdo para la Protección de Cursos de Agua y Suelos” q</w:t>
      </w:r>
      <w:r>
        <w:rPr>
          <w:rFonts w:cs="Arial"/>
          <w:lang w:val="es-MX"/>
        </w:rPr>
        <w:t xml:space="preserve">ue se encuentra operando en la </w:t>
      </w:r>
      <w:r w:rsidR="0015573C">
        <w:rPr>
          <w:rFonts w:cs="Arial"/>
          <w:lang w:val="es-MX"/>
        </w:rPr>
        <w:t xml:space="preserve">IX Región, firmado entre CONAF Araucanía – Empresas Forestales y CORMA Araucanía y se decide que las distancias ahí definidas serán consideradas para los anchos de las zonas de protección en general. </w:t>
      </w:r>
    </w:p>
    <w:p w:rsidR="0015573C" w:rsidRDefault="0015573C" w:rsidP="00056EA1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6F3711" w:rsidRDefault="0015573C" w:rsidP="00056EA1">
      <w:pPr>
        <w:spacing w:after="0" w:line="240" w:lineRule="auto"/>
        <w:ind w:right="49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Finalmente, se analizan e </w:t>
      </w:r>
      <w:r w:rsidR="00F72D8D">
        <w:rPr>
          <w:rFonts w:cs="Arial"/>
          <w:lang w:val="es-MX"/>
        </w:rPr>
        <w:t xml:space="preserve">incorporan algunas definiciones </w:t>
      </w:r>
      <w:r>
        <w:rPr>
          <w:rFonts w:cs="Arial"/>
          <w:lang w:val="es-MX"/>
        </w:rPr>
        <w:t xml:space="preserve">al Protocolo, </w:t>
      </w:r>
      <w:r w:rsidR="00F72D8D">
        <w:rPr>
          <w:rFonts w:cs="Arial"/>
          <w:lang w:val="es-MX"/>
        </w:rPr>
        <w:t>que de acuerdo a los expertos</w:t>
      </w:r>
      <w:r>
        <w:rPr>
          <w:rFonts w:cs="Arial"/>
          <w:lang w:val="es-MX"/>
        </w:rPr>
        <w:t>,</w:t>
      </w:r>
      <w:r w:rsidR="00F72D8D">
        <w:rPr>
          <w:rFonts w:cs="Arial"/>
          <w:lang w:val="es-MX"/>
        </w:rPr>
        <w:t xml:space="preserve"> es necesario incorporarlas a fin de darle sentido a algunos textos. </w:t>
      </w:r>
    </w:p>
    <w:p w:rsidR="0024332C" w:rsidRDefault="0024332C" w:rsidP="00C8398C">
      <w:pPr>
        <w:spacing w:after="0" w:line="240" w:lineRule="auto"/>
        <w:ind w:right="49"/>
        <w:jc w:val="both"/>
        <w:rPr>
          <w:rFonts w:cs="Arial"/>
          <w:lang w:val="es-MX"/>
        </w:rPr>
      </w:pPr>
    </w:p>
    <w:p w:rsidR="008B74A5" w:rsidRDefault="008B74A5" w:rsidP="00C8398C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</w:p>
    <w:p w:rsidR="006C311D" w:rsidRDefault="006C311D" w:rsidP="00C8398C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  <w:r w:rsidRPr="00AF609B">
        <w:rPr>
          <w:rFonts w:cs="Arial"/>
          <w:b/>
          <w:u w:val="single"/>
          <w:lang w:val="es-MX"/>
        </w:rPr>
        <w:t>ACUERDOS</w:t>
      </w:r>
    </w:p>
    <w:p w:rsidR="00C8398C" w:rsidRPr="00B325DA" w:rsidRDefault="00C8398C" w:rsidP="00900072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AB2057" w:rsidRPr="0015573C" w:rsidRDefault="003C150C" w:rsidP="001557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15573C">
        <w:rPr>
          <w:rFonts w:asciiTheme="minorHAnsi" w:eastAsiaTheme="minorHAnsi" w:hAnsiTheme="minorHAnsi" w:cstheme="minorBidi"/>
          <w:lang w:val="es-MX"/>
        </w:rPr>
        <w:t>Se incorpora</w:t>
      </w:r>
      <w:r w:rsidR="0015573C" w:rsidRPr="0015573C">
        <w:rPr>
          <w:rFonts w:asciiTheme="minorHAnsi" w:eastAsiaTheme="minorHAnsi" w:hAnsiTheme="minorHAnsi" w:cstheme="minorBidi"/>
          <w:lang w:val="es-MX"/>
        </w:rPr>
        <w:t xml:space="preserve">rá </w:t>
      </w:r>
      <w:r w:rsidRPr="0015573C">
        <w:rPr>
          <w:rFonts w:asciiTheme="minorHAnsi" w:eastAsiaTheme="minorHAnsi" w:hAnsiTheme="minorHAnsi" w:cstheme="minorBidi"/>
          <w:lang w:val="es-MX"/>
        </w:rPr>
        <w:t>al</w:t>
      </w:r>
      <w:r w:rsidR="0015573C">
        <w:rPr>
          <w:rFonts w:asciiTheme="minorHAnsi" w:eastAsiaTheme="minorHAnsi" w:hAnsiTheme="minorHAnsi" w:cstheme="minorBidi"/>
          <w:lang w:val="es-MX"/>
        </w:rPr>
        <w:t xml:space="preserve"> Protocolo, los anchos de las zonas de protección general, definidas en el</w:t>
      </w:r>
      <w:r w:rsidRPr="0015573C">
        <w:rPr>
          <w:rFonts w:asciiTheme="minorHAnsi" w:eastAsiaTheme="minorHAnsi" w:hAnsiTheme="minorHAnsi" w:cstheme="minorBidi"/>
          <w:lang w:val="es-MX"/>
        </w:rPr>
        <w:t xml:space="preserve"> </w:t>
      </w:r>
      <w:r w:rsidR="0015573C">
        <w:rPr>
          <w:rFonts w:cs="Arial"/>
          <w:lang w:val="es-MX"/>
        </w:rPr>
        <w:t>“Protocolo de Acuerdo para la Protección de Cursos de Agua y Suelos” que se encuentra operando en la IX Región, firmado entre CONAF Araucanía – Empresas Forestales y CORMA Araucanía</w:t>
      </w:r>
      <w:r w:rsidR="0015573C">
        <w:rPr>
          <w:rFonts w:cs="Arial"/>
          <w:lang w:val="es-MX"/>
        </w:rPr>
        <w:t>.</w:t>
      </w:r>
    </w:p>
    <w:p w:rsidR="0015573C" w:rsidRPr="0015573C" w:rsidRDefault="0015573C" w:rsidP="0015573C">
      <w:pPr>
        <w:pStyle w:val="Prrafodelista"/>
        <w:spacing w:after="0" w:line="240" w:lineRule="auto"/>
        <w:ind w:left="360"/>
        <w:jc w:val="both"/>
        <w:rPr>
          <w:rFonts w:asciiTheme="minorHAnsi" w:eastAsiaTheme="minorHAnsi" w:hAnsiTheme="minorHAnsi" w:cstheme="minorBidi"/>
        </w:rPr>
      </w:pPr>
    </w:p>
    <w:p w:rsidR="0015573C" w:rsidRPr="0015573C" w:rsidRDefault="0015573C" w:rsidP="001557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cs="Arial"/>
          <w:lang w:val="es-MX"/>
        </w:rPr>
        <w:t>Para las microcuencas abastecedor</w:t>
      </w:r>
      <w:r w:rsidRPr="0015573C">
        <w:rPr>
          <w:rFonts w:cs="Arial"/>
          <w:lang w:val="es-MX"/>
        </w:rPr>
        <w:t>as de agua, se mantendrá el mínimo de 10 metros acordado en las reuniones anteriores.</w:t>
      </w:r>
    </w:p>
    <w:p w:rsidR="0015573C" w:rsidRPr="0015573C" w:rsidRDefault="0015573C" w:rsidP="0015573C">
      <w:pPr>
        <w:pStyle w:val="Prrafodelista"/>
        <w:spacing w:after="0" w:line="240" w:lineRule="auto"/>
        <w:ind w:left="360"/>
        <w:jc w:val="both"/>
        <w:rPr>
          <w:rFonts w:asciiTheme="minorHAnsi" w:eastAsiaTheme="minorHAnsi" w:hAnsiTheme="minorHAnsi" w:cstheme="minorBidi"/>
        </w:rPr>
      </w:pPr>
    </w:p>
    <w:p w:rsidR="003D2C4F" w:rsidRPr="003D2C4F" w:rsidRDefault="003C150C" w:rsidP="003D2C4F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Se </w:t>
      </w:r>
      <w:r w:rsidR="0015573C">
        <w:rPr>
          <w:rFonts w:asciiTheme="minorHAnsi" w:eastAsiaTheme="minorHAnsi" w:hAnsiTheme="minorHAnsi" w:cstheme="minorBidi"/>
        </w:rPr>
        <w:t>da por aprobado el contenido del Protocolo en materia de protección de suelos y aguas.</w:t>
      </w:r>
    </w:p>
    <w:p w:rsidR="00B325DA" w:rsidRPr="003D2C4F" w:rsidRDefault="00B325DA" w:rsidP="00C8398C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800D63" w:rsidRDefault="00800D63" w:rsidP="00800D63">
      <w:pPr>
        <w:pStyle w:val="Prrafodelista"/>
        <w:rPr>
          <w:rFonts w:asciiTheme="minorHAnsi" w:eastAsiaTheme="minorHAnsi" w:hAnsiTheme="minorHAnsi" w:cstheme="minorBidi"/>
          <w:lang w:val="es-MX"/>
        </w:rPr>
      </w:pPr>
    </w:p>
    <w:p w:rsidR="00800D63" w:rsidRDefault="00800D63" w:rsidP="00800D6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800D63" w:rsidRDefault="00800D63" w:rsidP="00800D6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tbl>
      <w:tblPr>
        <w:tblpPr w:leftFromText="141" w:rightFromText="141" w:vertAnchor="text" w:horzAnchor="margin" w:tblpY="621"/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053"/>
      </w:tblGrid>
      <w:tr w:rsidR="00800D63" w:rsidRPr="00B73F48" w:rsidTr="006A2A39">
        <w:trPr>
          <w:trHeight w:val="974"/>
        </w:trPr>
        <w:tc>
          <w:tcPr>
            <w:tcW w:w="3969" w:type="dxa"/>
          </w:tcPr>
          <w:p w:rsidR="00800D63" w:rsidRPr="00AB2057" w:rsidRDefault="00800D63" w:rsidP="006A2A39">
            <w:pPr>
              <w:spacing w:before="120" w:after="12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AB2057">
              <w:rPr>
                <w:rFonts w:ascii="Arial" w:hAnsi="Arial" w:cs="Arial"/>
                <w:b/>
                <w:sz w:val="20"/>
                <w:szCs w:val="24"/>
                <w:u w:val="single"/>
              </w:rPr>
              <w:br w:type="page"/>
            </w:r>
          </w:p>
          <w:p w:rsidR="00800D63" w:rsidRPr="00AB2057" w:rsidRDefault="00800D63" w:rsidP="006A2A39">
            <w:pPr>
              <w:pBdr>
                <w:top w:val="single" w:sz="4" w:space="1" w:color="auto"/>
              </w:pBdr>
              <w:spacing w:before="120" w:after="12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AB2057">
              <w:rPr>
                <w:rFonts w:ascii="Arial" w:hAnsi="Arial" w:cs="Arial"/>
                <w:b/>
                <w:sz w:val="20"/>
                <w:szCs w:val="24"/>
                <w:lang w:val="es-MX"/>
              </w:rPr>
              <w:t>AARÓN CAVIERES CANCINO</w:t>
            </w:r>
          </w:p>
          <w:p w:rsidR="00800D63" w:rsidRPr="00AB2057" w:rsidRDefault="00800D63" w:rsidP="006A2A39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AB2057">
              <w:rPr>
                <w:rFonts w:ascii="Arial" w:hAnsi="Arial" w:cs="Arial"/>
                <w:sz w:val="20"/>
                <w:szCs w:val="24"/>
                <w:lang w:val="es-MX"/>
              </w:rPr>
              <w:t>Presidente CPF</w:t>
            </w:r>
          </w:p>
          <w:p w:rsidR="00800D63" w:rsidRPr="00AB2057" w:rsidRDefault="00800D63" w:rsidP="006A2A39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AB2057">
              <w:rPr>
                <w:rFonts w:ascii="Arial" w:hAnsi="Arial" w:cs="Arial"/>
                <w:sz w:val="20"/>
                <w:szCs w:val="24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800D63" w:rsidRPr="00AB2057" w:rsidRDefault="00800D63" w:rsidP="006A2A39">
            <w:pPr>
              <w:spacing w:before="120" w:after="120" w:line="240" w:lineRule="auto"/>
              <w:ind w:left="-70" w:firstLine="70"/>
              <w:contextualSpacing/>
              <w:jc w:val="both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4053" w:type="dxa"/>
          </w:tcPr>
          <w:p w:rsidR="00800D63" w:rsidRPr="00AB2057" w:rsidRDefault="00800D63" w:rsidP="006A2A39">
            <w:pPr>
              <w:spacing w:before="120" w:after="12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</w:p>
          <w:p w:rsidR="00800D63" w:rsidRPr="00AB2057" w:rsidRDefault="00800D63" w:rsidP="006A2A39">
            <w:pPr>
              <w:pBdr>
                <w:top w:val="single" w:sz="4" w:space="1" w:color="auto"/>
              </w:pBdr>
              <w:spacing w:before="120" w:after="120" w:line="240" w:lineRule="auto"/>
              <w:ind w:left="-70" w:firstLine="7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AB2057">
              <w:rPr>
                <w:rFonts w:ascii="Arial" w:hAnsi="Arial" w:cs="Arial"/>
                <w:b/>
                <w:sz w:val="20"/>
                <w:szCs w:val="24"/>
                <w:lang w:val="es-MX"/>
              </w:rPr>
              <w:t>FRANCISCO POZO ALVARADO</w:t>
            </w:r>
          </w:p>
          <w:p w:rsidR="00800D63" w:rsidRPr="00AB2057" w:rsidRDefault="00800D63" w:rsidP="006A2A39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AB2057">
              <w:rPr>
                <w:rFonts w:ascii="Arial" w:hAnsi="Arial" w:cs="Arial"/>
                <w:sz w:val="20"/>
                <w:szCs w:val="24"/>
                <w:lang w:val="es-MX"/>
              </w:rPr>
              <w:t>Secretario Técnico de la Comisión Temática</w:t>
            </w:r>
          </w:p>
          <w:p w:rsidR="00800D63" w:rsidRPr="00AB2057" w:rsidRDefault="00800D63" w:rsidP="006A2A39">
            <w:pPr>
              <w:spacing w:after="0" w:line="240" w:lineRule="auto"/>
              <w:ind w:left="-68" w:firstLine="68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AB2057">
              <w:rPr>
                <w:rFonts w:ascii="Arial" w:hAnsi="Arial" w:cs="Arial"/>
                <w:sz w:val="20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800D63" w:rsidRPr="00800D63" w:rsidRDefault="00800D63" w:rsidP="00800D63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8B74A5" w:rsidRPr="00AF609B" w:rsidRDefault="008B74A5">
      <w:pPr>
        <w:spacing w:after="0" w:line="240" w:lineRule="auto"/>
        <w:jc w:val="both"/>
        <w:rPr>
          <w:rFonts w:cs="Arial"/>
          <w:b/>
          <w:u w:val="single"/>
          <w:lang w:val="es-MX"/>
        </w:rPr>
      </w:pPr>
      <w:bookmarkStart w:id="0" w:name="_GoBack"/>
      <w:bookmarkEnd w:id="0"/>
    </w:p>
    <w:sectPr w:rsidR="008B74A5" w:rsidRPr="00AF609B" w:rsidSect="00B3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701" w:bottom="1135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88" w:rsidRDefault="006E6C88" w:rsidP="006C311D">
      <w:pPr>
        <w:spacing w:after="0" w:line="240" w:lineRule="auto"/>
      </w:pPr>
      <w:r>
        <w:separator/>
      </w:r>
    </w:p>
  </w:endnote>
  <w:endnote w:type="continuationSeparator" w:id="0">
    <w:p w:rsidR="006E6C88" w:rsidRDefault="006E6C88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88" w:rsidRDefault="006E6C88" w:rsidP="006C311D">
      <w:pPr>
        <w:spacing w:after="0" w:line="240" w:lineRule="auto"/>
      </w:pPr>
      <w:r>
        <w:separator/>
      </w:r>
    </w:p>
  </w:footnote>
  <w:footnote w:type="continuationSeparator" w:id="0">
    <w:p w:rsidR="006E6C88" w:rsidRDefault="006E6C88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</w:rPr>
      <w:t>CONSEJO DE POLÍTICA FORESTAL</w:t>
    </w:r>
  </w:p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E55A0F" w:rsidRDefault="00E55A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53AB9"/>
    <w:multiLevelType w:val="hybridMultilevel"/>
    <w:tmpl w:val="5E28959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E3E41"/>
    <w:multiLevelType w:val="hybridMultilevel"/>
    <w:tmpl w:val="68CCDD8E"/>
    <w:lvl w:ilvl="0" w:tplc="4F0CE0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CFB"/>
    <w:multiLevelType w:val="hybridMultilevel"/>
    <w:tmpl w:val="B502C52E"/>
    <w:lvl w:ilvl="0" w:tplc="0F9ADE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000000"/>
      </w:rPr>
    </w:lvl>
    <w:lvl w:ilvl="1" w:tplc="7658A9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705292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55BEF"/>
    <w:multiLevelType w:val="hybridMultilevel"/>
    <w:tmpl w:val="9B94E8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8264E"/>
    <w:multiLevelType w:val="hybridMultilevel"/>
    <w:tmpl w:val="6BD2B356"/>
    <w:lvl w:ilvl="0" w:tplc="E23C98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54F2"/>
    <w:rsid w:val="00027AA2"/>
    <w:rsid w:val="0003530F"/>
    <w:rsid w:val="0003731B"/>
    <w:rsid w:val="00043A06"/>
    <w:rsid w:val="00044796"/>
    <w:rsid w:val="00046862"/>
    <w:rsid w:val="00050E72"/>
    <w:rsid w:val="00051566"/>
    <w:rsid w:val="0005457D"/>
    <w:rsid w:val="0005477C"/>
    <w:rsid w:val="00054A21"/>
    <w:rsid w:val="00056EA1"/>
    <w:rsid w:val="00066D23"/>
    <w:rsid w:val="00067CC2"/>
    <w:rsid w:val="00073B8A"/>
    <w:rsid w:val="00074CE4"/>
    <w:rsid w:val="00075DE9"/>
    <w:rsid w:val="000827A2"/>
    <w:rsid w:val="00083604"/>
    <w:rsid w:val="0008678F"/>
    <w:rsid w:val="000B1ED4"/>
    <w:rsid w:val="000C082E"/>
    <w:rsid w:val="000D2F40"/>
    <w:rsid w:val="000D6847"/>
    <w:rsid w:val="000E019B"/>
    <w:rsid w:val="000E045D"/>
    <w:rsid w:val="000E1CE0"/>
    <w:rsid w:val="000E1D07"/>
    <w:rsid w:val="000E5044"/>
    <w:rsid w:val="000E6940"/>
    <w:rsid w:val="00103720"/>
    <w:rsid w:val="00110388"/>
    <w:rsid w:val="00111474"/>
    <w:rsid w:val="0011240C"/>
    <w:rsid w:val="0012019B"/>
    <w:rsid w:val="001302F7"/>
    <w:rsid w:val="0013312C"/>
    <w:rsid w:val="00136A48"/>
    <w:rsid w:val="00141C8E"/>
    <w:rsid w:val="00143FD8"/>
    <w:rsid w:val="001447EE"/>
    <w:rsid w:val="001452A2"/>
    <w:rsid w:val="001471E6"/>
    <w:rsid w:val="00154066"/>
    <w:rsid w:val="0015573C"/>
    <w:rsid w:val="00155C4A"/>
    <w:rsid w:val="00164545"/>
    <w:rsid w:val="0016566E"/>
    <w:rsid w:val="0016675E"/>
    <w:rsid w:val="00176BCC"/>
    <w:rsid w:val="00182236"/>
    <w:rsid w:val="001822BA"/>
    <w:rsid w:val="0018251C"/>
    <w:rsid w:val="00185FF6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3707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2038E8"/>
    <w:rsid w:val="0020602B"/>
    <w:rsid w:val="002071DE"/>
    <w:rsid w:val="00210FAA"/>
    <w:rsid w:val="002129E3"/>
    <w:rsid w:val="00212B87"/>
    <w:rsid w:val="00213B21"/>
    <w:rsid w:val="00216596"/>
    <w:rsid w:val="00216604"/>
    <w:rsid w:val="00216B3D"/>
    <w:rsid w:val="002175C4"/>
    <w:rsid w:val="00225483"/>
    <w:rsid w:val="00227064"/>
    <w:rsid w:val="00233323"/>
    <w:rsid w:val="0023646A"/>
    <w:rsid w:val="0023699C"/>
    <w:rsid w:val="0024332C"/>
    <w:rsid w:val="0024372C"/>
    <w:rsid w:val="00245107"/>
    <w:rsid w:val="00247FE1"/>
    <w:rsid w:val="002533E3"/>
    <w:rsid w:val="0025347E"/>
    <w:rsid w:val="002571E9"/>
    <w:rsid w:val="0026190A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943E9"/>
    <w:rsid w:val="002A06A8"/>
    <w:rsid w:val="002A39B8"/>
    <w:rsid w:val="002A4151"/>
    <w:rsid w:val="002A6291"/>
    <w:rsid w:val="002A62B5"/>
    <w:rsid w:val="002B3887"/>
    <w:rsid w:val="002C2BD9"/>
    <w:rsid w:val="002C2CBD"/>
    <w:rsid w:val="002C361D"/>
    <w:rsid w:val="002C4382"/>
    <w:rsid w:val="002C751F"/>
    <w:rsid w:val="002D1E27"/>
    <w:rsid w:val="002D1F5C"/>
    <w:rsid w:val="002D49BD"/>
    <w:rsid w:val="002D6DF4"/>
    <w:rsid w:val="002E2155"/>
    <w:rsid w:val="002E3A02"/>
    <w:rsid w:val="002F11D6"/>
    <w:rsid w:val="002F3A45"/>
    <w:rsid w:val="002F441A"/>
    <w:rsid w:val="003019D2"/>
    <w:rsid w:val="003117AC"/>
    <w:rsid w:val="003146B6"/>
    <w:rsid w:val="0031512B"/>
    <w:rsid w:val="00315FB2"/>
    <w:rsid w:val="00326C5C"/>
    <w:rsid w:val="003305B5"/>
    <w:rsid w:val="00331CD1"/>
    <w:rsid w:val="00341441"/>
    <w:rsid w:val="00345CBE"/>
    <w:rsid w:val="00351F78"/>
    <w:rsid w:val="0035342C"/>
    <w:rsid w:val="003601CD"/>
    <w:rsid w:val="00360960"/>
    <w:rsid w:val="003617C6"/>
    <w:rsid w:val="00364D6B"/>
    <w:rsid w:val="00365B52"/>
    <w:rsid w:val="00376A9E"/>
    <w:rsid w:val="00377705"/>
    <w:rsid w:val="00381CC2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B42A3"/>
    <w:rsid w:val="003C150C"/>
    <w:rsid w:val="003C2C1A"/>
    <w:rsid w:val="003C3214"/>
    <w:rsid w:val="003C44EB"/>
    <w:rsid w:val="003D2C4F"/>
    <w:rsid w:val="003D3E45"/>
    <w:rsid w:val="003D5825"/>
    <w:rsid w:val="003D767A"/>
    <w:rsid w:val="003E0563"/>
    <w:rsid w:val="003E3498"/>
    <w:rsid w:val="003E66A1"/>
    <w:rsid w:val="003F1B4F"/>
    <w:rsid w:val="003F6E52"/>
    <w:rsid w:val="004002A4"/>
    <w:rsid w:val="0040157A"/>
    <w:rsid w:val="00403FF4"/>
    <w:rsid w:val="004053F3"/>
    <w:rsid w:val="00405EB4"/>
    <w:rsid w:val="00412153"/>
    <w:rsid w:val="00414135"/>
    <w:rsid w:val="00415242"/>
    <w:rsid w:val="00417F3C"/>
    <w:rsid w:val="00420F09"/>
    <w:rsid w:val="00425B1B"/>
    <w:rsid w:val="00426268"/>
    <w:rsid w:val="004317DD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0AF"/>
    <w:rsid w:val="0048588A"/>
    <w:rsid w:val="00486CDF"/>
    <w:rsid w:val="00487C84"/>
    <w:rsid w:val="00487F42"/>
    <w:rsid w:val="0049004C"/>
    <w:rsid w:val="004943BE"/>
    <w:rsid w:val="004946DE"/>
    <w:rsid w:val="00494F92"/>
    <w:rsid w:val="0049618F"/>
    <w:rsid w:val="004A0603"/>
    <w:rsid w:val="004A2EC8"/>
    <w:rsid w:val="004A3CC4"/>
    <w:rsid w:val="004A50FB"/>
    <w:rsid w:val="004B3232"/>
    <w:rsid w:val="004B4B42"/>
    <w:rsid w:val="004B56AA"/>
    <w:rsid w:val="004B7B70"/>
    <w:rsid w:val="004C4D1A"/>
    <w:rsid w:val="004C5122"/>
    <w:rsid w:val="004C6858"/>
    <w:rsid w:val="004D0787"/>
    <w:rsid w:val="004D18F6"/>
    <w:rsid w:val="004D1FED"/>
    <w:rsid w:val="004D209D"/>
    <w:rsid w:val="004D28E8"/>
    <w:rsid w:val="004D679A"/>
    <w:rsid w:val="004D76F5"/>
    <w:rsid w:val="004E793B"/>
    <w:rsid w:val="004E7E9C"/>
    <w:rsid w:val="004F56E5"/>
    <w:rsid w:val="005008D6"/>
    <w:rsid w:val="005039F9"/>
    <w:rsid w:val="00505693"/>
    <w:rsid w:val="00505C0C"/>
    <w:rsid w:val="00506D95"/>
    <w:rsid w:val="00512D74"/>
    <w:rsid w:val="00513209"/>
    <w:rsid w:val="00513745"/>
    <w:rsid w:val="005162B3"/>
    <w:rsid w:val="00517D99"/>
    <w:rsid w:val="005226B4"/>
    <w:rsid w:val="00523ED7"/>
    <w:rsid w:val="00525166"/>
    <w:rsid w:val="005254F4"/>
    <w:rsid w:val="0052787E"/>
    <w:rsid w:val="00531135"/>
    <w:rsid w:val="00531F50"/>
    <w:rsid w:val="00537633"/>
    <w:rsid w:val="00546CBC"/>
    <w:rsid w:val="0055424D"/>
    <w:rsid w:val="00557DEF"/>
    <w:rsid w:val="00560CB1"/>
    <w:rsid w:val="00562A08"/>
    <w:rsid w:val="00572343"/>
    <w:rsid w:val="0058230B"/>
    <w:rsid w:val="005915BA"/>
    <w:rsid w:val="00591ED4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DB"/>
    <w:rsid w:val="005D2ECA"/>
    <w:rsid w:val="005E0E29"/>
    <w:rsid w:val="005E3E50"/>
    <w:rsid w:val="005F0D4E"/>
    <w:rsid w:val="005F2D33"/>
    <w:rsid w:val="005F2FE4"/>
    <w:rsid w:val="005F5305"/>
    <w:rsid w:val="005F53FC"/>
    <w:rsid w:val="005F7ABD"/>
    <w:rsid w:val="00600E6F"/>
    <w:rsid w:val="0060390B"/>
    <w:rsid w:val="0060517B"/>
    <w:rsid w:val="00607B1B"/>
    <w:rsid w:val="006209C5"/>
    <w:rsid w:val="00624B87"/>
    <w:rsid w:val="00624CA5"/>
    <w:rsid w:val="00626DB7"/>
    <w:rsid w:val="00626F83"/>
    <w:rsid w:val="00633E54"/>
    <w:rsid w:val="0064021E"/>
    <w:rsid w:val="006411ED"/>
    <w:rsid w:val="00643E79"/>
    <w:rsid w:val="006447C7"/>
    <w:rsid w:val="00647C4D"/>
    <w:rsid w:val="00651887"/>
    <w:rsid w:val="00661D81"/>
    <w:rsid w:val="006669CD"/>
    <w:rsid w:val="00670318"/>
    <w:rsid w:val="0067155A"/>
    <w:rsid w:val="006723C0"/>
    <w:rsid w:val="006818F5"/>
    <w:rsid w:val="00684C8F"/>
    <w:rsid w:val="006856A1"/>
    <w:rsid w:val="0068577E"/>
    <w:rsid w:val="00687962"/>
    <w:rsid w:val="00690BB1"/>
    <w:rsid w:val="0069197E"/>
    <w:rsid w:val="00695526"/>
    <w:rsid w:val="00695CA1"/>
    <w:rsid w:val="006A0C4B"/>
    <w:rsid w:val="006A2D3E"/>
    <w:rsid w:val="006A6F19"/>
    <w:rsid w:val="006B4C59"/>
    <w:rsid w:val="006B5677"/>
    <w:rsid w:val="006C1BD0"/>
    <w:rsid w:val="006C311D"/>
    <w:rsid w:val="006C4C24"/>
    <w:rsid w:val="006D2CD8"/>
    <w:rsid w:val="006D31CF"/>
    <w:rsid w:val="006D40E5"/>
    <w:rsid w:val="006D600A"/>
    <w:rsid w:val="006D67F1"/>
    <w:rsid w:val="006E0E53"/>
    <w:rsid w:val="006E52DA"/>
    <w:rsid w:val="006E6C88"/>
    <w:rsid w:val="006F042D"/>
    <w:rsid w:val="006F0D14"/>
    <w:rsid w:val="006F3711"/>
    <w:rsid w:val="006F5A67"/>
    <w:rsid w:val="00700D23"/>
    <w:rsid w:val="0070265E"/>
    <w:rsid w:val="00705159"/>
    <w:rsid w:val="007069ED"/>
    <w:rsid w:val="00706DA0"/>
    <w:rsid w:val="00706DA7"/>
    <w:rsid w:val="00707006"/>
    <w:rsid w:val="007100FD"/>
    <w:rsid w:val="00721FFE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DBA"/>
    <w:rsid w:val="00793F27"/>
    <w:rsid w:val="007A08AB"/>
    <w:rsid w:val="007A08E6"/>
    <w:rsid w:val="007A37B5"/>
    <w:rsid w:val="007A4B08"/>
    <w:rsid w:val="007A5BA7"/>
    <w:rsid w:val="007A64A3"/>
    <w:rsid w:val="007B37EF"/>
    <w:rsid w:val="007B4CC9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1E53"/>
    <w:rsid w:val="007E2E9B"/>
    <w:rsid w:val="007F2F4B"/>
    <w:rsid w:val="007F4A82"/>
    <w:rsid w:val="007F77C5"/>
    <w:rsid w:val="00800D63"/>
    <w:rsid w:val="008059BF"/>
    <w:rsid w:val="00806D09"/>
    <w:rsid w:val="00807CF3"/>
    <w:rsid w:val="00810660"/>
    <w:rsid w:val="008129B0"/>
    <w:rsid w:val="00816A4C"/>
    <w:rsid w:val="00816BE1"/>
    <w:rsid w:val="00820E7F"/>
    <w:rsid w:val="008217F1"/>
    <w:rsid w:val="00825AE8"/>
    <w:rsid w:val="008303FF"/>
    <w:rsid w:val="00831DFC"/>
    <w:rsid w:val="008330B4"/>
    <w:rsid w:val="0084204D"/>
    <w:rsid w:val="008420CF"/>
    <w:rsid w:val="008426F2"/>
    <w:rsid w:val="0084296B"/>
    <w:rsid w:val="0084422F"/>
    <w:rsid w:val="00844DA6"/>
    <w:rsid w:val="0086048A"/>
    <w:rsid w:val="00860B4B"/>
    <w:rsid w:val="00864B18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B74A5"/>
    <w:rsid w:val="008C3619"/>
    <w:rsid w:val="008C4FF9"/>
    <w:rsid w:val="008D098A"/>
    <w:rsid w:val="008D0F3A"/>
    <w:rsid w:val="008D1C6C"/>
    <w:rsid w:val="008D3FC8"/>
    <w:rsid w:val="008D5A18"/>
    <w:rsid w:val="008D5F97"/>
    <w:rsid w:val="008E05C8"/>
    <w:rsid w:val="008E1A86"/>
    <w:rsid w:val="008E2E96"/>
    <w:rsid w:val="008E340F"/>
    <w:rsid w:val="008E42DD"/>
    <w:rsid w:val="008E520C"/>
    <w:rsid w:val="008F24DA"/>
    <w:rsid w:val="008F475E"/>
    <w:rsid w:val="008F489B"/>
    <w:rsid w:val="008F7D33"/>
    <w:rsid w:val="008F7FE1"/>
    <w:rsid w:val="00900072"/>
    <w:rsid w:val="009029DC"/>
    <w:rsid w:val="0090497E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470CE"/>
    <w:rsid w:val="0095115B"/>
    <w:rsid w:val="009528EF"/>
    <w:rsid w:val="00952E82"/>
    <w:rsid w:val="009568DA"/>
    <w:rsid w:val="009577AD"/>
    <w:rsid w:val="009654C3"/>
    <w:rsid w:val="009655D2"/>
    <w:rsid w:val="0096561D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97A1F"/>
    <w:rsid w:val="009A054B"/>
    <w:rsid w:val="009A12AA"/>
    <w:rsid w:val="009A4AD3"/>
    <w:rsid w:val="009B144D"/>
    <w:rsid w:val="009B1B8F"/>
    <w:rsid w:val="009B26DB"/>
    <w:rsid w:val="009B2F75"/>
    <w:rsid w:val="009B5B1E"/>
    <w:rsid w:val="009B73CE"/>
    <w:rsid w:val="009C1327"/>
    <w:rsid w:val="009C1936"/>
    <w:rsid w:val="009C1974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25D3"/>
    <w:rsid w:val="009E667C"/>
    <w:rsid w:val="009E66AC"/>
    <w:rsid w:val="009F4608"/>
    <w:rsid w:val="009F561F"/>
    <w:rsid w:val="00A00FDD"/>
    <w:rsid w:val="00A101AE"/>
    <w:rsid w:val="00A13F14"/>
    <w:rsid w:val="00A15CE8"/>
    <w:rsid w:val="00A17C88"/>
    <w:rsid w:val="00A245E7"/>
    <w:rsid w:val="00A263B6"/>
    <w:rsid w:val="00A26733"/>
    <w:rsid w:val="00A319DF"/>
    <w:rsid w:val="00A4403E"/>
    <w:rsid w:val="00A45203"/>
    <w:rsid w:val="00A45D16"/>
    <w:rsid w:val="00A472D0"/>
    <w:rsid w:val="00A52364"/>
    <w:rsid w:val="00A653C1"/>
    <w:rsid w:val="00A663B4"/>
    <w:rsid w:val="00A73C52"/>
    <w:rsid w:val="00A742DF"/>
    <w:rsid w:val="00A826E8"/>
    <w:rsid w:val="00A86695"/>
    <w:rsid w:val="00A87FDA"/>
    <w:rsid w:val="00A91711"/>
    <w:rsid w:val="00A95DE0"/>
    <w:rsid w:val="00AA0AF4"/>
    <w:rsid w:val="00AA0D84"/>
    <w:rsid w:val="00AA3471"/>
    <w:rsid w:val="00AA5529"/>
    <w:rsid w:val="00AB0E8A"/>
    <w:rsid w:val="00AB2057"/>
    <w:rsid w:val="00AB3DFF"/>
    <w:rsid w:val="00AB4B08"/>
    <w:rsid w:val="00AB726A"/>
    <w:rsid w:val="00AC3E85"/>
    <w:rsid w:val="00AC439C"/>
    <w:rsid w:val="00AC4AC0"/>
    <w:rsid w:val="00AD13F7"/>
    <w:rsid w:val="00AD1DFC"/>
    <w:rsid w:val="00AF6045"/>
    <w:rsid w:val="00AF609B"/>
    <w:rsid w:val="00AF62F5"/>
    <w:rsid w:val="00AF76A2"/>
    <w:rsid w:val="00B011C5"/>
    <w:rsid w:val="00B0276C"/>
    <w:rsid w:val="00B02892"/>
    <w:rsid w:val="00B049B0"/>
    <w:rsid w:val="00B128F4"/>
    <w:rsid w:val="00B17FFA"/>
    <w:rsid w:val="00B21433"/>
    <w:rsid w:val="00B230AC"/>
    <w:rsid w:val="00B23759"/>
    <w:rsid w:val="00B24470"/>
    <w:rsid w:val="00B31034"/>
    <w:rsid w:val="00B325DA"/>
    <w:rsid w:val="00B32BB7"/>
    <w:rsid w:val="00B41395"/>
    <w:rsid w:val="00B44187"/>
    <w:rsid w:val="00B4736B"/>
    <w:rsid w:val="00B512D9"/>
    <w:rsid w:val="00B579B4"/>
    <w:rsid w:val="00B64B74"/>
    <w:rsid w:val="00B7546E"/>
    <w:rsid w:val="00B77A62"/>
    <w:rsid w:val="00B815C4"/>
    <w:rsid w:val="00B875A9"/>
    <w:rsid w:val="00B96292"/>
    <w:rsid w:val="00B96F10"/>
    <w:rsid w:val="00BA07DB"/>
    <w:rsid w:val="00BA08BC"/>
    <w:rsid w:val="00BA2B39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2016"/>
    <w:rsid w:val="00C04B12"/>
    <w:rsid w:val="00C05834"/>
    <w:rsid w:val="00C060AA"/>
    <w:rsid w:val="00C06FDF"/>
    <w:rsid w:val="00C13BDD"/>
    <w:rsid w:val="00C14F9E"/>
    <w:rsid w:val="00C16A9B"/>
    <w:rsid w:val="00C2256F"/>
    <w:rsid w:val="00C22929"/>
    <w:rsid w:val="00C23D36"/>
    <w:rsid w:val="00C2488B"/>
    <w:rsid w:val="00C25940"/>
    <w:rsid w:val="00C330C2"/>
    <w:rsid w:val="00C336D0"/>
    <w:rsid w:val="00C3590E"/>
    <w:rsid w:val="00C36BAC"/>
    <w:rsid w:val="00C42E2C"/>
    <w:rsid w:val="00C43CE7"/>
    <w:rsid w:val="00C45494"/>
    <w:rsid w:val="00C461FE"/>
    <w:rsid w:val="00C468CD"/>
    <w:rsid w:val="00C50EA0"/>
    <w:rsid w:val="00C51D7F"/>
    <w:rsid w:val="00C55565"/>
    <w:rsid w:val="00C56005"/>
    <w:rsid w:val="00C5629C"/>
    <w:rsid w:val="00C5734E"/>
    <w:rsid w:val="00C60E10"/>
    <w:rsid w:val="00C6258B"/>
    <w:rsid w:val="00C62A6C"/>
    <w:rsid w:val="00C64BE1"/>
    <w:rsid w:val="00C65119"/>
    <w:rsid w:val="00C6633E"/>
    <w:rsid w:val="00C72E82"/>
    <w:rsid w:val="00C73E5B"/>
    <w:rsid w:val="00C753F9"/>
    <w:rsid w:val="00C80B87"/>
    <w:rsid w:val="00C8160B"/>
    <w:rsid w:val="00C824A1"/>
    <w:rsid w:val="00C830EE"/>
    <w:rsid w:val="00C8398C"/>
    <w:rsid w:val="00C84048"/>
    <w:rsid w:val="00C871A8"/>
    <w:rsid w:val="00C87455"/>
    <w:rsid w:val="00C87D59"/>
    <w:rsid w:val="00C90387"/>
    <w:rsid w:val="00C904E6"/>
    <w:rsid w:val="00C90826"/>
    <w:rsid w:val="00C9544B"/>
    <w:rsid w:val="00CA361B"/>
    <w:rsid w:val="00CA5568"/>
    <w:rsid w:val="00CA6326"/>
    <w:rsid w:val="00CB02F2"/>
    <w:rsid w:val="00CB363B"/>
    <w:rsid w:val="00CC1A0F"/>
    <w:rsid w:val="00CC76B6"/>
    <w:rsid w:val="00CD1465"/>
    <w:rsid w:val="00CD1514"/>
    <w:rsid w:val="00CD33F3"/>
    <w:rsid w:val="00CE55B9"/>
    <w:rsid w:val="00CE78BB"/>
    <w:rsid w:val="00CF15C0"/>
    <w:rsid w:val="00CF353B"/>
    <w:rsid w:val="00CF66BA"/>
    <w:rsid w:val="00CF7840"/>
    <w:rsid w:val="00D01F91"/>
    <w:rsid w:val="00D04822"/>
    <w:rsid w:val="00D04BB5"/>
    <w:rsid w:val="00D149AE"/>
    <w:rsid w:val="00D16521"/>
    <w:rsid w:val="00D17F7C"/>
    <w:rsid w:val="00D27570"/>
    <w:rsid w:val="00D3140C"/>
    <w:rsid w:val="00D31895"/>
    <w:rsid w:val="00D33C6B"/>
    <w:rsid w:val="00D35300"/>
    <w:rsid w:val="00D35DD7"/>
    <w:rsid w:val="00D4058C"/>
    <w:rsid w:val="00D435E6"/>
    <w:rsid w:val="00D44ECB"/>
    <w:rsid w:val="00D46251"/>
    <w:rsid w:val="00D46DEC"/>
    <w:rsid w:val="00D549C0"/>
    <w:rsid w:val="00D571DF"/>
    <w:rsid w:val="00D616AD"/>
    <w:rsid w:val="00D62358"/>
    <w:rsid w:val="00D65147"/>
    <w:rsid w:val="00D65865"/>
    <w:rsid w:val="00D74EBC"/>
    <w:rsid w:val="00D754A2"/>
    <w:rsid w:val="00D75747"/>
    <w:rsid w:val="00D80B7F"/>
    <w:rsid w:val="00D817E5"/>
    <w:rsid w:val="00D83338"/>
    <w:rsid w:val="00D9256B"/>
    <w:rsid w:val="00D942E7"/>
    <w:rsid w:val="00D95975"/>
    <w:rsid w:val="00DA0364"/>
    <w:rsid w:val="00DA15F4"/>
    <w:rsid w:val="00DB5B26"/>
    <w:rsid w:val="00DC0508"/>
    <w:rsid w:val="00DC1791"/>
    <w:rsid w:val="00DC3030"/>
    <w:rsid w:val="00DC4EF6"/>
    <w:rsid w:val="00DC65AD"/>
    <w:rsid w:val="00DD406F"/>
    <w:rsid w:val="00DD45F8"/>
    <w:rsid w:val="00DD4B18"/>
    <w:rsid w:val="00DD608B"/>
    <w:rsid w:val="00DD6366"/>
    <w:rsid w:val="00DD6CB6"/>
    <w:rsid w:val="00DE3A69"/>
    <w:rsid w:val="00DF0D99"/>
    <w:rsid w:val="00DF3444"/>
    <w:rsid w:val="00DF3FA8"/>
    <w:rsid w:val="00DF4A01"/>
    <w:rsid w:val="00E0054E"/>
    <w:rsid w:val="00E10408"/>
    <w:rsid w:val="00E10E2C"/>
    <w:rsid w:val="00E218C5"/>
    <w:rsid w:val="00E30246"/>
    <w:rsid w:val="00E31479"/>
    <w:rsid w:val="00E3210B"/>
    <w:rsid w:val="00E34092"/>
    <w:rsid w:val="00E34E1E"/>
    <w:rsid w:val="00E34EE6"/>
    <w:rsid w:val="00E428BF"/>
    <w:rsid w:val="00E435A7"/>
    <w:rsid w:val="00E4451F"/>
    <w:rsid w:val="00E44ED8"/>
    <w:rsid w:val="00E47144"/>
    <w:rsid w:val="00E47223"/>
    <w:rsid w:val="00E54291"/>
    <w:rsid w:val="00E55A0F"/>
    <w:rsid w:val="00E56ACB"/>
    <w:rsid w:val="00E56E3D"/>
    <w:rsid w:val="00E61A59"/>
    <w:rsid w:val="00E679BA"/>
    <w:rsid w:val="00E7325D"/>
    <w:rsid w:val="00E744FE"/>
    <w:rsid w:val="00E82A5F"/>
    <w:rsid w:val="00E82F99"/>
    <w:rsid w:val="00E8400F"/>
    <w:rsid w:val="00E903C1"/>
    <w:rsid w:val="00E92385"/>
    <w:rsid w:val="00E96305"/>
    <w:rsid w:val="00EA02B5"/>
    <w:rsid w:val="00EA05C2"/>
    <w:rsid w:val="00EA11CA"/>
    <w:rsid w:val="00EA27CD"/>
    <w:rsid w:val="00EA39BD"/>
    <w:rsid w:val="00EA61BE"/>
    <w:rsid w:val="00EA693A"/>
    <w:rsid w:val="00EB213A"/>
    <w:rsid w:val="00EB495A"/>
    <w:rsid w:val="00EB56CF"/>
    <w:rsid w:val="00EC108D"/>
    <w:rsid w:val="00EC41B0"/>
    <w:rsid w:val="00EC7801"/>
    <w:rsid w:val="00EC7E78"/>
    <w:rsid w:val="00ED4FED"/>
    <w:rsid w:val="00ED63A9"/>
    <w:rsid w:val="00ED7D7D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66A9"/>
    <w:rsid w:val="00F44ED0"/>
    <w:rsid w:val="00F47524"/>
    <w:rsid w:val="00F475C6"/>
    <w:rsid w:val="00F5168D"/>
    <w:rsid w:val="00F51DF6"/>
    <w:rsid w:val="00F51FEC"/>
    <w:rsid w:val="00F5614A"/>
    <w:rsid w:val="00F608F1"/>
    <w:rsid w:val="00F611EF"/>
    <w:rsid w:val="00F64C61"/>
    <w:rsid w:val="00F65213"/>
    <w:rsid w:val="00F72D45"/>
    <w:rsid w:val="00F72D8D"/>
    <w:rsid w:val="00F74149"/>
    <w:rsid w:val="00F775E9"/>
    <w:rsid w:val="00F8169F"/>
    <w:rsid w:val="00F818CE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B3DE9"/>
    <w:rsid w:val="00FB4782"/>
    <w:rsid w:val="00FC07D3"/>
    <w:rsid w:val="00FC1ED3"/>
    <w:rsid w:val="00FD713A"/>
    <w:rsid w:val="00FE28B6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4A46-BF12-4922-8588-6F53FF63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Paula Vásquez Baeza</cp:lastModifiedBy>
  <cp:revision>2</cp:revision>
  <cp:lastPrinted>2017-06-16T12:23:00Z</cp:lastPrinted>
  <dcterms:created xsi:type="dcterms:W3CDTF">2017-07-27T21:31:00Z</dcterms:created>
  <dcterms:modified xsi:type="dcterms:W3CDTF">2017-07-27T21:31:00Z</dcterms:modified>
</cp:coreProperties>
</file>